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259"/>
        <w:gridCol w:w="1749"/>
        <w:gridCol w:w="1596"/>
        <w:gridCol w:w="1826"/>
        <w:gridCol w:w="1212"/>
        <w:gridCol w:w="1381"/>
        <w:gridCol w:w="2147"/>
        <w:gridCol w:w="1780"/>
      </w:tblGrid>
      <w:tr w:rsidR="00A22159" w:rsidRPr="00474895" w:rsidTr="00A22159">
        <w:trPr>
          <w:trHeight w:val="297"/>
        </w:trPr>
        <w:tc>
          <w:tcPr>
            <w:tcW w:w="12950" w:type="dxa"/>
            <w:gridSpan w:val="8"/>
          </w:tcPr>
          <w:p w:rsidR="00A22159" w:rsidRPr="00474895" w:rsidRDefault="00A22159" w:rsidP="00A22159">
            <w:pPr>
              <w:jc w:val="center"/>
              <w:rPr>
                <w:rFonts w:ascii="Garamond" w:hAnsi="Garamond"/>
                <w:b/>
                <w:sz w:val="20"/>
                <w:szCs w:val="20"/>
              </w:rPr>
            </w:pPr>
            <w:bookmarkStart w:id="0" w:name="_GoBack"/>
            <w:bookmarkEnd w:id="0"/>
            <w:r w:rsidRPr="00474895">
              <w:rPr>
                <w:rFonts w:ascii="Garamond" w:hAnsi="Garamond"/>
                <w:b/>
                <w:sz w:val="20"/>
                <w:szCs w:val="20"/>
              </w:rPr>
              <w:t>STUDENT DEMAND</w:t>
            </w:r>
          </w:p>
        </w:tc>
      </w:tr>
      <w:tr w:rsidR="00A22159" w:rsidRPr="00474895" w:rsidTr="00A22159">
        <w:trPr>
          <w:trHeight w:val="236"/>
        </w:trPr>
        <w:tc>
          <w:tcPr>
            <w:tcW w:w="1259"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Category</w:t>
            </w:r>
          </w:p>
        </w:tc>
        <w:tc>
          <w:tcPr>
            <w:tcW w:w="1749"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Criteria</w:t>
            </w:r>
          </w:p>
        </w:tc>
        <w:tc>
          <w:tcPr>
            <w:tcW w:w="1596"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Definition</w:t>
            </w:r>
          </w:p>
        </w:tc>
        <w:tc>
          <w:tcPr>
            <w:tcW w:w="1826"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Metric</w:t>
            </w:r>
          </w:p>
        </w:tc>
        <w:tc>
          <w:tcPr>
            <w:tcW w:w="1212"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Timeframe</w:t>
            </w:r>
          </w:p>
        </w:tc>
        <w:tc>
          <w:tcPr>
            <w:tcW w:w="1381"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Purpose</w:t>
            </w:r>
          </w:p>
        </w:tc>
        <w:tc>
          <w:tcPr>
            <w:tcW w:w="2147"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Use &amp; Applicability</w:t>
            </w:r>
          </w:p>
        </w:tc>
        <w:tc>
          <w:tcPr>
            <w:tcW w:w="1780"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Source</w:t>
            </w:r>
          </w:p>
        </w:tc>
      </w:tr>
      <w:tr w:rsidR="00A22159" w:rsidRPr="00474895" w:rsidTr="00A22159">
        <w:trPr>
          <w:trHeight w:val="2360"/>
        </w:trPr>
        <w:tc>
          <w:tcPr>
            <w:tcW w:w="1259"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Student Demand</w:t>
            </w:r>
          </w:p>
        </w:tc>
        <w:tc>
          <w:tcPr>
            <w:tcW w:w="1749"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Student Inquiries</w:t>
            </w:r>
          </w:p>
        </w:tc>
        <w:tc>
          <w:tcPr>
            <w:tcW w:w="159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Total volume of inquiries over the past year</w:t>
            </w:r>
          </w:p>
        </w:tc>
        <w:tc>
          <w:tcPr>
            <w:tcW w:w="182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Total Inquiries</w:t>
            </w:r>
          </w:p>
        </w:tc>
        <w:tc>
          <w:tcPr>
            <w:tcW w:w="1212"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Q4 2017 - Q3 2018</w:t>
            </w:r>
          </w:p>
        </w:tc>
        <w:tc>
          <w:tcPr>
            <w:tcW w:w="1381"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Size demand by program</w:t>
            </w:r>
          </w:p>
        </w:tc>
        <w:tc>
          <w:tcPr>
            <w:tcW w:w="2147"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Current indicator. Strong for vocational and other types of programs commonly offered online or by for-profit institutions. Changes may reflect institutional marketing efforts as well as underlying student demand.</w:t>
            </w:r>
          </w:p>
        </w:tc>
        <w:tc>
          <w:tcPr>
            <w:tcW w:w="1780"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GrayReports Inquiry Database</w:t>
            </w:r>
          </w:p>
        </w:tc>
      </w:tr>
      <w:tr w:rsidR="00A22159" w:rsidRPr="00474895" w:rsidTr="00A22159">
        <w:trPr>
          <w:trHeight w:val="297"/>
        </w:trPr>
        <w:tc>
          <w:tcPr>
            <w:tcW w:w="1259" w:type="dxa"/>
            <w:vAlign w:val="center"/>
          </w:tcPr>
          <w:p w:rsidR="00A22159" w:rsidRPr="00474895" w:rsidRDefault="00A22159" w:rsidP="00A22159">
            <w:pPr>
              <w:rPr>
                <w:rFonts w:ascii="Garamond" w:eastAsia="Times New Roman" w:hAnsi="Garamond" w:cs="Arial"/>
                <w:color w:val="363636"/>
                <w:sz w:val="20"/>
                <w:szCs w:val="20"/>
              </w:rPr>
            </w:pPr>
            <w:r w:rsidRPr="00474895">
              <w:rPr>
                <w:rFonts w:ascii="Garamond" w:hAnsi="Garamond" w:cs="Arial"/>
                <w:color w:val="363636"/>
                <w:sz w:val="20"/>
                <w:szCs w:val="20"/>
              </w:rPr>
              <w:t>Student Demand</w:t>
            </w:r>
          </w:p>
        </w:tc>
        <w:tc>
          <w:tcPr>
            <w:tcW w:w="1749"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Student Inquiries</w:t>
            </w:r>
          </w:p>
        </w:tc>
        <w:tc>
          <w:tcPr>
            <w:tcW w:w="159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Total volume of inquiries for online programs over the past year</w:t>
            </w:r>
          </w:p>
        </w:tc>
        <w:tc>
          <w:tcPr>
            <w:tcW w:w="182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Total Online Inquiries</w:t>
            </w:r>
          </w:p>
        </w:tc>
        <w:tc>
          <w:tcPr>
            <w:tcW w:w="1212"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Q4 2017 - Q3 2018</w:t>
            </w:r>
          </w:p>
        </w:tc>
        <w:tc>
          <w:tcPr>
            <w:tcW w:w="1381"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Size online demand by program</w:t>
            </w:r>
          </w:p>
        </w:tc>
        <w:tc>
          <w:tcPr>
            <w:tcW w:w="2147"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Current indicator. Strong for vocational and other types of programs commonly offered online or by for-profit institutions. Changes may reflect institutional marketing efforts as well as underlying student demand.</w:t>
            </w:r>
          </w:p>
        </w:tc>
        <w:tc>
          <w:tcPr>
            <w:tcW w:w="1780"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GrayReports Inquiry Database</w:t>
            </w:r>
          </w:p>
        </w:tc>
      </w:tr>
      <w:tr w:rsidR="00A22159" w:rsidRPr="00474895" w:rsidTr="00A22159">
        <w:trPr>
          <w:trHeight w:val="297"/>
        </w:trPr>
        <w:tc>
          <w:tcPr>
            <w:tcW w:w="1259" w:type="dxa"/>
            <w:vAlign w:val="center"/>
          </w:tcPr>
          <w:p w:rsidR="00A22159" w:rsidRPr="00474895" w:rsidRDefault="00A22159" w:rsidP="00A22159">
            <w:pPr>
              <w:rPr>
                <w:rFonts w:ascii="Garamond" w:eastAsia="Times New Roman" w:hAnsi="Garamond" w:cs="Arial"/>
                <w:color w:val="363636"/>
                <w:sz w:val="20"/>
                <w:szCs w:val="20"/>
              </w:rPr>
            </w:pPr>
            <w:r w:rsidRPr="00474895">
              <w:rPr>
                <w:rFonts w:ascii="Garamond" w:hAnsi="Garamond" w:cs="Arial"/>
                <w:color w:val="363636"/>
                <w:sz w:val="20"/>
                <w:szCs w:val="20"/>
              </w:rPr>
              <w:t>Student Demand</w:t>
            </w:r>
          </w:p>
        </w:tc>
        <w:tc>
          <w:tcPr>
            <w:tcW w:w="1749"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Student Inquiries</w:t>
            </w:r>
          </w:p>
        </w:tc>
        <w:tc>
          <w:tcPr>
            <w:tcW w:w="159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The year-over-year unit change in number of inquiries</w:t>
            </w:r>
          </w:p>
        </w:tc>
        <w:tc>
          <w:tcPr>
            <w:tcW w:w="182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Unit Change</w:t>
            </w:r>
          </w:p>
        </w:tc>
        <w:tc>
          <w:tcPr>
            <w:tcW w:w="1212"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Q4 2017 - Q3 2018</w:t>
            </w:r>
          </w:p>
        </w:tc>
        <w:tc>
          <w:tcPr>
            <w:tcW w:w="1381"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Identify emerging and declining programs interest</w:t>
            </w:r>
          </w:p>
        </w:tc>
        <w:tc>
          <w:tcPr>
            <w:tcW w:w="2147"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Current indicator. Strong for vocational and other types of programs commonly offered online or by for-profit institutions. Changes may reflect institutional marketing efforts as well as underlying student demand.</w:t>
            </w:r>
          </w:p>
        </w:tc>
        <w:tc>
          <w:tcPr>
            <w:tcW w:w="1780"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GrayReports Inquiry Database</w:t>
            </w:r>
          </w:p>
        </w:tc>
      </w:tr>
      <w:tr w:rsidR="00A22159" w:rsidRPr="00474895" w:rsidTr="00A22159">
        <w:trPr>
          <w:trHeight w:val="297"/>
        </w:trPr>
        <w:tc>
          <w:tcPr>
            <w:tcW w:w="1259" w:type="dxa"/>
            <w:vAlign w:val="center"/>
          </w:tcPr>
          <w:p w:rsidR="00A22159" w:rsidRPr="00474895" w:rsidRDefault="00A22159" w:rsidP="00A22159">
            <w:pPr>
              <w:rPr>
                <w:rFonts w:ascii="Garamond" w:eastAsia="Times New Roman" w:hAnsi="Garamond" w:cs="Arial"/>
                <w:color w:val="363636"/>
                <w:sz w:val="20"/>
                <w:szCs w:val="20"/>
              </w:rPr>
            </w:pPr>
            <w:r w:rsidRPr="00474895">
              <w:rPr>
                <w:rFonts w:ascii="Garamond" w:hAnsi="Garamond" w:cs="Arial"/>
                <w:color w:val="363636"/>
                <w:sz w:val="20"/>
                <w:szCs w:val="20"/>
              </w:rPr>
              <w:t>Student Demand</w:t>
            </w:r>
          </w:p>
        </w:tc>
        <w:tc>
          <w:tcPr>
            <w:tcW w:w="1749"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Student Inquiries</w:t>
            </w:r>
          </w:p>
        </w:tc>
        <w:tc>
          <w:tcPr>
            <w:tcW w:w="159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The year-over-year percentage change in number of inquiries</w:t>
            </w:r>
          </w:p>
        </w:tc>
        <w:tc>
          <w:tcPr>
            <w:tcW w:w="182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Inquiries:  % Change</w:t>
            </w:r>
          </w:p>
        </w:tc>
        <w:tc>
          <w:tcPr>
            <w:tcW w:w="1212"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Q1 2018 - Q4 2018</w:t>
            </w:r>
          </w:p>
        </w:tc>
        <w:tc>
          <w:tcPr>
            <w:tcW w:w="1381"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Identify emerging and declining programs interest</w:t>
            </w:r>
          </w:p>
        </w:tc>
        <w:tc>
          <w:tcPr>
            <w:tcW w:w="2147"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Current indicator. Strong for vocational and other types of programs commonly offered online or by for-</w:t>
            </w:r>
            <w:r w:rsidRPr="00474895">
              <w:rPr>
                <w:rFonts w:ascii="Garamond" w:hAnsi="Garamond" w:cs="Arial"/>
                <w:color w:val="363636"/>
                <w:sz w:val="20"/>
                <w:szCs w:val="20"/>
              </w:rPr>
              <w:lastRenderedPageBreak/>
              <w:t>profit institutions. Changes may reflect institutional marketing efforts as well as underlying student demand.</w:t>
            </w:r>
          </w:p>
        </w:tc>
        <w:tc>
          <w:tcPr>
            <w:tcW w:w="1780"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lastRenderedPageBreak/>
              <w:t>GrayReports Inquiry Database</w:t>
            </w:r>
          </w:p>
        </w:tc>
      </w:tr>
      <w:tr w:rsidR="00A22159" w:rsidRPr="00474895" w:rsidTr="00A22159">
        <w:trPr>
          <w:trHeight w:val="297"/>
        </w:trPr>
        <w:tc>
          <w:tcPr>
            <w:tcW w:w="1259" w:type="dxa"/>
            <w:vAlign w:val="center"/>
          </w:tcPr>
          <w:p w:rsidR="00A22159" w:rsidRPr="00474895" w:rsidRDefault="00A22159" w:rsidP="00A22159">
            <w:pPr>
              <w:rPr>
                <w:rFonts w:ascii="Garamond" w:eastAsia="Times New Roman" w:hAnsi="Garamond" w:cs="Arial"/>
                <w:color w:val="363636"/>
                <w:sz w:val="20"/>
                <w:szCs w:val="20"/>
              </w:rPr>
            </w:pPr>
            <w:r w:rsidRPr="00474895">
              <w:rPr>
                <w:rFonts w:ascii="Garamond" w:hAnsi="Garamond" w:cs="Arial"/>
                <w:color w:val="363636"/>
                <w:sz w:val="20"/>
                <w:szCs w:val="20"/>
              </w:rPr>
              <w:t>Student Demand</w:t>
            </w:r>
          </w:p>
        </w:tc>
        <w:tc>
          <w:tcPr>
            <w:tcW w:w="1749"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Google Search</w:t>
            </w:r>
          </w:p>
        </w:tc>
        <w:tc>
          <w:tcPr>
            <w:tcW w:w="159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Number of Google searches on the top 25 keywords for the 200 largest programs ove the most recent quarter</w:t>
            </w:r>
          </w:p>
        </w:tc>
        <w:tc>
          <w:tcPr>
            <w:tcW w:w="182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Total Searches</w:t>
            </w:r>
          </w:p>
        </w:tc>
        <w:tc>
          <w:tcPr>
            <w:tcW w:w="1212"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Q4 2018</w:t>
            </w:r>
          </w:p>
        </w:tc>
        <w:tc>
          <w:tcPr>
            <w:tcW w:w="1381"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Confirm program and market size</w:t>
            </w:r>
          </w:p>
        </w:tc>
        <w:tc>
          <w:tcPr>
            <w:tcW w:w="2147"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Current indicator. Only includes the largest programs.</w:t>
            </w:r>
          </w:p>
        </w:tc>
        <w:tc>
          <w:tcPr>
            <w:tcW w:w="1780"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Google keywords</w:t>
            </w:r>
          </w:p>
        </w:tc>
      </w:tr>
      <w:tr w:rsidR="00A22159" w:rsidRPr="00474895" w:rsidTr="00A22159">
        <w:trPr>
          <w:trHeight w:val="297"/>
        </w:trPr>
        <w:tc>
          <w:tcPr>
            <w:tcW w:w="1259" w:type="dxa"/>
            <w:vAlign w:val="center"/>
          </w:tcPr>
          <w:p w:rsidR="00A22159" w:rsidRPr="00474895" w:rsidRDefault="00A22159" w:rsidP="00A22159">
            <w:pPr>
              <w:rPr>
                <w:rFonts w:ascii="Garamond" w:eastAsia="Times New Roman" w:hAnsi="Garamond" w:cs="Arial"/>
                <w:color w:val="363636"/>
                <w:sz w:val="20"/>
                <w:szCs w:val="20"/>
              </w:rPr>
            </w:pPr>
            <w:r w:rsidRPr="00474895">
              <w:rPr>
                <w:rFonts w:ascii="Garamond" w:hAnsi="Garamond" w:cs="Arial"/>
                <w:color w:val="363636"/>
                <w:sz w:val="20"/>
                <w:szCs w:val="20"/>
              </w:rPr>
              <w:t>Student Demand</w:t>
            </w:r>
          </w:p>
        </w:tc>
        <w:tc>
          <w:tcPr>
            <w:tcW w:w="1749"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Google Search</w:t>
            </w:r>
          </w:p>
        </w:tc>
        <w:tc>
          <w:tcPr>
            <w:tcW w:w="159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The year-over-year change in number of searches</w:t>
            </w:r>
          </w:p>
        </w:tc>
        <w:tc>
          <w:tcPr>
            <w:tcW w:w="182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Google:  Unit Change</w:t>
            </w:r>
          </w:p>
        </w:tc>
        <w:tc>
          <w:tcPr>
            <w:tcW w:w="1212"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Q4 2018 vs. Q4 2017</w:t>
            </w:r>
          </w:p>
        </w:tc>
        <w:tc>
          <w:tcPr>
            <w:tcW w:w="1381"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Identify emerging and declining program interest</w:t>
            </w:r>
          </w:p>
        </w:tc>
        <w:tc>
          <w:tcPr>
            <w:tcW w:w="2147"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Current indicator. Only includes the largest programs.</w:t>
            </w:r>
          </w:p>
        </w:tc>
        <w:tc>
          <w:tcPr>
            <w:tcW w:w="1780"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Google keywords</w:t>
            </w:r>
          </w:p>
        </w:tc>
      </w:tr>
      <w:tr w:rsidR="00A22159" w:rsidRPr="00474895" w:rsidTr="00A22159">
        <w:trPr>
          <w:trHeight w:val="297"/>
        </w:trPr>
        <w:tc>
          <w:tcPr>
            <w:tcW w:w="1259" w:type="dxa"/>
            <w:vAlign w:val="center"/>
          </w:tcPr>
          <w:p w:rsidR="00A22159" w:rsidRPr="00474895" w:rsidRDefault="00A22159" w:rsidP="00A22159">
            <w:pPr>
              <w:rPr>
                <w:rFonts w:ascii="Garamond" w:eastAsia="Times New Roman" w:hAnsi="Garamond" w:cs="Arial"/>
                <w:color w:val="363636"/>
                <w:sz w:val="20"/>
                <w:szCs w:val="20"/>
              </w:rPr>
            </w:pPr>
            <w:r w:rsidRPr="00474895">
              <w:rPr>
                <w:rFonts w:ascii="Garamond" w:hAnsi="Garamond" w:cs="Arial"/>
                <w:color w:val="363636"/>
                <w:sz w:val="20"/>
                <w:szCs w:val="20"/>
              </w:rPr>
              <w:t>Student Demand</w:t>
            </w:r>
          </w:p>
        </w:tc>
        <w:tc>
          <w:tcPr>
            <w:tcW w:w="1749"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Google Search</w:t>
            </w:r>
          </w:p>
        </w:tc>
        <w:tc>
          <w:tcPr>
            <w:tcW w:w="159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The year-over-year change in number of searches</w:t>
            </w:r>
          </w:p>
        </w:tc>
        <w:tc>
          <w:tcPr>
            <w:tcW w:w="182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Google:  % Change</w:t>
            </w:r>
          </w:p>
        </w:tc>
        <w:tc>
          <w:tcPr>
            <w:tcW w:w="1212"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Q4 2018 vs. Q4 2017</w:t>
            </w:r>
          </w:p>
        </w:tc>
        <w:tc>
          <w:tcPr>
            <w:tcW w:w="1381"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Identify emerging and declining programs interest</w:t>
            </w:r>
          </w:p>
        </w:tc>
        <w:tc>
          <w:tcPr>
            <w:tcW w:w="2147"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Current indicator. Only includes the largest programs.</w:t>
            </w:r>
          </w:p>
        </w:tc>
        <w:tc>
          <w:tcPr>
            <w:tcW w:w="1780"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Google keywords</w:t>
            </w:r>
          </w:p>
        </w:tc>
      </w:tr>
      <w:tr w:rsidR="00A22159" w:rsidRPr="00474895" w:rsidTr="00A22159">
        <w:trPr>
          <w:trHeight w:val="297"/>
        </w:trPr>
        <w:tc>
          <w:tcPr>
            <w:tcW w:w="1259" w:type="dxa"/>
            <w:vAlign w:val="center"/>
          </w:tcPr>
          <w:p w:rsidR="00A22159" w:rsidRPr="00474895" w:rsidRDefault="00A22159" w:rsidP="00A22159">
            <w:pPr>
              <w:rPr>
                <w:rFonts w:ascii="Garamond" w:eastAsia="Times New Roman" w:hAnsi="Garamond" w:cs="Arial"/>
                <w:color w:val="363636"/>
                <w:sz w:val="20"/>
                <w:szCs w:val="20"/>
              </w:rPr>
            </w:pPr>
            <w:r w:rsidRPr="00474895">
              <w:rPr>
                <w:rFonts w:ascii="Garamond" w:hAnsi="Garamond" w:cs="Arial"/>
                <w:color w:val="363636"/>
                <w:sz w:val="20"/>
                <w:szCs w:val="20"/>
              </w:rPr>
              <w:t>Student Demand</w:t>
            </w:r>
          </w:p>
        </w:tc>
        <w:tc>
          <w:tcPr>
            <w:tcW w:w="1749"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Completions</w:t>
            </w:r>
          </w:p>
        </w:tc>
        <w:tc>
          <w:tcPr>
            <w:tcW w:w="159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Number of annual conferred degrees from IPEDS</w:t>
            </w:r>
          </w:p>
        </w:tc>
        <w:tc>
          <w:tcPr>
            <w:tcW w:w="182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Total Completions</w:t>
            </w:r>
          </w:p>
        </w:tc>
        <w:tc>
          <w:tcPr>
            <w:tcW w:w="1212" w:type="dxa"/>
            <w:vAlign w:val="center"/>
          </w:tcPr>
          <w:p w:rsidR="00A22159" w:rsidRPr="00474895" w:rsidRDefault="00A22159" w:rsidP="00A22159">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381"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Confirm program and market size</w:t>
            </w:r>
          </w:p>
        </w:tc>
        <w:tc>
          <w:tcPr>
            <w:tcW w:w="2147"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Comprehensive for Title IV programs. Lagging indicator.</w:t>
            </w:r>
          </w:p>
        </w:tc>
        <w:tc>
          <w:tcPr>
            <w:tcW w:w="1780"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Completions from IPEDS with enhanced coding.</w:t>
            </w:r>
          </w:p>
        </w:tc>
      </w:tr>
      <w:tr w:rsidR="00A22159" w:rsidRPr="00474895" w:rsidTr="00A22159">
        <w:trPr>
          <w:trHeight w:val="297"/>
        </w:trPr>
        <w:tc>
          <w:tcPr>
            <w:tcW w:w="1259" w:type="dxa"/>
            <w:vAlign w:val="center"/>
          </w:tcPr>
          <w:p w:rsidR="00A22159" w:rsidRPr="00474895" w:rsidRDefault="00A22159" w:rsidP="00A22159">
            <w:pPr>
              <w:rPr>
                <w:rFonts w:ascii="Garamond" w:eastAsia="Times New Roman" w:hAnsi="Garamond" w:cs="Arial"/>
                <w:color w:val="363636"/>
                <w:sz w:val="20"/>
                <w:szCs w:val="20"/>
              </w:rPr>
            </w:pPr>
            <w:r w:rsidRPr="00474895">
              <w:rPr>
                <w:rFonts w:ascii="Garamond" w:hAnsi="Garamond" w:cs="Arial"/>
                <w:color w:val="363636"/>
                <w:sz w:val="20"/>
                <w:szCs w:val="20"/>
              </w:rPr>
              <w:t>Student Demand</w:t>
            </w:r>
          </w:p>
        </w:tc>
        <w:tc>
          <w:tcPr>
            <w:tcW w:w="1749"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Completions</w:t>
            </w:r>
          </w:p>
        </w:tc>
        <w:tc>
          <w:tcPr>
            <w:tcW w:w="159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The year-over-year unit change in number of inquiries</w:t>
            </w:r>
          </w:p>
        </w:tc>
        <w:tc>
          <w:tcPr>
            <w:tcW w:w="182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Completions:  Unit Change</w:t>
            </w:r>
          </w:p>
        </w:tc>
        <w:tc>
          <w:tcPr>
            <w:tcW w:w="1212"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2017 vs. 2016</w:t>
            </w:r>
          </w:p>
        </w:tc>
        <w:tc>
          <w:tcPr>
            <w:tcW w:w="1381"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Identify emerging and declining program interest</w:t>
            </w:r>
          </w:p>
        </w:tc>
        <w:tc>
          <w:tcPr>
            <w:tcW w:w="2147"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Comprehensive for Title IV programs. Lagging indicator.</w:t>
            </w:r>
          </w:p>
        </w:tc>
        <w:tc>
          <w:tcPr>
            <w:tcW w:w="1780"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Completions from IPEDS with enhanced coding.</w:t>
            </w:r>
          </w:p>
        </w:tc>
      </w:tr>
      <w:tr w:rsidR="00A22159" w:rsidRPr="00474895" w:rsidTr="00A22159">
        <w:trPr>
          <w:trHeight w:val="297"/>
        </w:trPr>
        <w:tc>
          <w:tcPr>
            <w:tcW w:w="1259" w:type="dxa"/>
            <w:vAlign w:val="center"/>
          </w:tcPr>
          <w:p w:rsidR="00A22159" w:rsidRPr="00474895" w:rsidRDefault="00A22159" w:rsidP="00A22159">
            <w:pPr>
              <w:rPr>
                <w:rFonts w:ascii="Garamond" w:eastAsia="Times New Roman" w:hAnsi="Garamond" w:cs="Arial"/>
                <w:color w:val="363636"/>
                <w:sz w:val="20"/>
                <w:szCs w:val="20"/>
              </w:rPr>
            </w:pPr>
            <w:r w:rsidRPr="00474895">
              <w:rPr>
                <w:rFonts w:ascii="Garamond" w:hAnsi="Garamond" w:cs="Arial"/>
                <w:color w:val="363636"/>
                <w:sz w:val="20"/>
                <w:szCs w:val="20"/>
              </w:rPr>
              <w:t>Student Demand</w:t>
            </w:r>
          </w:p>
        </w:tc>
        <w:tc>
          <w:tcPr>
            <w:tcW w:w="1749"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Completions</w:t>
            </w:r>
          </w:p>
        </w:tc>
        <w:tc>
          <w:tcPr>
            <w:tcW w:w="159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The year-over-year unit change in number of inquiries</w:t>
            </w:r>
          </w:p>
        </w:tc>
        <w:tc>
          <w:tcPr>
            <w:tcW w:w="1826"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Completions:  Unit Change</w:t>
            </w:r>
          </w:p>
        </w:tc>
        <w:tc>
          <w:tcPr>
            <w:tcW w:w="1212"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2017 vs. 2016</w:t>
            </w:r>
          </w:p>
        </w:tc>
        <w:tc>
          <w:tcPr>
            <w:tcW w:w="1381"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Identify emerging and declining program interest</w:t>
            </w:r>
          </w:p>
        </w:tc>
        <w:tc>
          <w:tcPr>
            <w:tcW w:w="2147"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Comprehensive for Title IV programs. Lagging indicator.</w:t>
            </w:r>
          </w:p>
        </w:tc>
        <w:tc>
          <w:tcPr>
            <w:tcW w:w="1780" w:type="dxa"/>
            <w:vAlign w:val="center"/>
          </w:tcPr>
          <w:p w:rsidR="00A22159" w:rsidRPr="00474895" w:rsidRDefault="00A22159" w:rsidP="00A22159">
            <w:pPr>
              <w:rPr>
                <w:rFonts w:ascii="Garamond" w:hAnsi="Garamond" w:cs="Arial"/>
                <w:color w:val="363636"/>
                <w:sz w:val="20"/>
                <w:szCs w:val="20"/>
              </w:rPr>
            </w:pPr>
            <w:r w:rsidRPr="00474895">
              <w:rPr>
                <w:rFonts w:ascii="Garamond" w:hAnsi="Garamond" w:cs="Arial"/>
                <w:color w:val="363636"/>
                <w:sz w:val="20"/>
                <w:szCs w:val="20"/>
              </w:rPr>
              <w:t>Completions from IPEDS with enhanced coding.</w:t>
            </w:r>
          </w:p>
        </w:tc>
      </w:tr>
      <w:tr w:rsidR="00A22159" w:rsidRPr="00474895" w:rsidTr="00A22159">
        <w:trPr>
          <w:trHeight w:val="297"/>
        </w:trPr>
        <w:tc>
          <w:tcPr>
            <w:tcW w:w="1259" w:type="dxa"/>
          </w:tcPr>
          <w:p w:rsidR="00A22159" w:rsidRPr="00474895" w:rsidRDefault="00A22159">
            <w:pPr>
              <w:rPr>
                <w:rFonts w:ascii="Garamond" w:hAnsi="Garamond"/>
                <w:sz w:val="20"/>
                <w:szCs w:val="20"/>
              </w:rPr>
            </w:pPr>
          </w:p>
        </w:tc>
        <w:tc>
          <w:tcPr>
            <w:tcW w:w="1749" w:type="dxa"/>
          </w:tcPr>
          <w:p w:rsidR="00A22159" w:rsidRPr="00474895" w:rsidRDefault="00A22159">
            <w:pPr>
              <w:rPr>
                <w:rFonts w:ascii="Garamond" w:hAnsi="Garamond"/>
                <w:sz w:val="20"/>
                <w:szCs w:val="20"/>
              </w:rPr>
            </w:pPr>
          </w:p>
        </w:tc>
        <w:tc>
          <w:tcPr>
            <w:tcW w:w="1596" w:type="dxa"/>
          </w:tcPr>
          <w:p w:rsidR="00A22159" w:rsidRPr="00474895" w:rsidRDefault="00A22159">
            <w:pPr>
              <w:rPr>
                <w:rFonts w:ascii="Garamond" w:hAnsi="Garamond"/>
                <w:sz w:val="20"/>
                <w:szCs w:val="20"/>
              </w:rPr>
            </w:pPr>
          </w:p>
        </w:tc>
        <w:tc>
          <w:tcPr>
            <w:tcW w:w="1826" w:type="dxa"/>
          </w:tcPr>
          <w:p w:rsidR="00A22159" w:rsidRPr="00474895" w:rsidRDefault="00A22159">
            <w:pPr>
              <w:rPr>
                <w:rFonts w:ascii="Garamond" w:hAnsi="Garamond"/>
                <w:sz w:val="20"/>
                <w:szCs w:val="20"/>
              </w:rPr>
            </w:pPr>
          </w:p>
        </w:tc>
        <w:tc>
          <w:tcPr>
            <w:tcW w:w="1212" w:type="dxa"/>
          </w:tcPr>
          <w:p w:rsidR="00A22159" w:rsidRPr="00474895" w:rsidRDefault="00A22159">
            <w:pPr>
              <w:rPr>
                <w:rFonts w:ascii="Garamond" w:hAnsi="Garamond"/>
                <w:sz w:val="20"/>
                <w:szCs w:val="20"/>
              </w:rPr>
            </w:pPr>
          </w:p>
        </w:tc>
        <w:tc>
          <w:tcPr>
            <w:tcW w:w="1381" w:type="dxa"/>
          </w:tcPr>
          <w:p w:rsidR="00A22159" w:rsidRPr="00474895" w:rsidRDefault="00A22159">
            <w:pPr>
              <w:rPr>
                <w:rFonts w:ascii="Garamond" w:hAnsi="Garamond"/>
                <w:sz w:val="20"/>
                <w:szCs w:val="20"/>
              </w:rPr>
            </w:pPr>
          </w:p>
        </w:tc>
        <w:tc>
          <w:tcPr>
            <w:tcW w:w="2147" w:type="dxa"/>
          </w:tcPr>
          <w:p w:rsidR="00A22159" w:rsidRPr="00474895" w:rsidRDefault="00A22159">
            <w:pPr>
              <w:rPr>
                <w:rFonts w:ascii="Garamond" w:hAnsi="Garamond"/>
                <w:sz w:val="20"/>
                <w:szCs w:val="20"/>
              </w:rPr>
            </w:pPr>
          </w:p>
        </w:tc>
        <w:tc>
          <w:tcPr>
            <w:tcW w:w="1780" w:type="dxa"/>
          </w:tcPr>
          <w:p w:rsidR="00A22159" w:rsidRPr="00474895" w:rsidRDefault="00A22159">
            <w:pPr>
              <w:rPr>
                <w:rFonts w:ascii="Garamond" w:hAnsi="Garamond"/>
                <w:sz w:val="20"/>
                <w:szCs w:val="20"/>
              </w:rPr>
            </w:pPr>
          </w:p>
        </w:tc>
      </w:tr>
      <w:tr w:rsidR="00A22159" w:rsidRPr="00474895" w:rsidTr="00A22159">
        <w:trPr>
          <w:trHeight w:val="297"/>
        </w:trPr>
        <w:tc>
          <w:tcPr>
            <w:tcW w:w="1259" w:type="dxa"/>
          </w:tcPr>
          <w:p w:rsidR="00A22159" w:rsidRPr="00474895" w:rsidRDefault="00A22159">
            <w:pPr>
              <w:rPr>
                <w:rFonts w:ascii="Garamond" w:hAnsi="Garamond"/>
                <w:sz w:val="20"/>
                <w:szCs w:val="20"/>
              </w:rPr>
            </w:pPr>
          </w:p>
        </w:tc>
        <w:tc>
          <w:tcPr>
            <w:tcW w:w="1749" w:type="dxa"/>
          </w:tcPr>
          <w:p w:rsidR="00A22159" w:rsidRPr="00474895" w:rsidRDefault="00A22159">
            <w:pPr>
              <w:rPr>
                <w:rFonts w:ascii="Garamond" w:hAnsi="Garamond"/>
                <w:sz w:val="20"/>
                <w:szCs w:val="20"/>
              </w:rPr>
            </w:pPr>
          </w:p>
        </w:tc>
        <w:tc>
          <w:tcPr>
            <w:tcW w:w="1596" w:type="dxa"/>
          </w:tcPr>
          <w:p w:rsidR="00A22159" w:rsidRPr="00474895" w:rsidRDefault="00A22159">
            <w:pPr>
              <w:rPr>
                <w:rFonts w:ascii="Garamond" w:hAnsi="Garamond"/>
                <w:sz w:val="20"/>
                <w:szCs w:val="20"/>
              </w:rPr>
            </w:pPr>
          </w:p>
        </w:tc>
        <w:tc>
          <w:tcPr>
            <w:tcW w:w="1826" w:type="dxa"/>
          </w:tcPr>
          <w:p w:rsidR="00A22159" w:rsidRPr="00474895" w:rsidRDefault="00A22159">
            <w:pPr>
              <w:rPr>
                <w:rFonts w:ascii="Garamond" w:hAnsi="Garamond"/>
                <w:sz w:val="20"/>
                <w:szCs w:val="20"/>
              </w:rPr>
            </w:pPr>
          </w:p>
        </w:tc>
        <w:tc>
          <w:tcPr>
            <w:tcW w:w="1212" w:type="dxa"/>
          </w:tcPr>
          <w:p w:rsidR="00A22159" w:rsidRPr="00474895" w:rsidRDefault="00A22159">
            <w:pPr>
              <w:rPr>
                <w:rFonts w:ascii="Garamond" w:hAnsi="Garamond"/>
                <w:sz w:val="20"/>
                <w:szCs w:val="20"/>
              </w:rPr>
            </w:pPr>
          </w:p>
        </w:tc>
        <w:tc>
          <w:tcPr>
            <w:tcW w:w="1381" w:type="dxa"/>
          </w:tcPr>
          <w:p w:rsidR="00A22159" w:rsidRPr="00474895" w:rsidRDefault="00A22159">
            <w:pPr>
              <w:rPr>
                <w:rFonts w:ascii="Garamond" w:hAnsi="Garamond"/>
                <w:sz w:val="20"/>
                <w:szCs w:val="20"/>
              </w:rPr>
            </w:pPr>
          </w:p>
        </w:tc>
        <w:tc>
          <w:tcPr>
            <w:tcW w:w="2147" w:type="dxa"/>
          </w:tcPr>
          <w:p w:rsidR="00A22159" w:rsidRPr="00474895" w:rsidRDefault="00A22159">
            <w:pPr>
              <w:rPr>
                <w:rFonts w:ascii="Garamond" w:hAnsi="Garamond"/>
                <w:sz w:val="20"/>
                <w:szCs w:val="20"/>
              </w:rPr>
            </w:pPr>
          </w:p>
        </w:tc>
        <w:tc>
          <w:tcPr>
            <w:tcW w:w="1780" w:type="dxa"/>
          </w:tcPr>
          <w:p w:rsidR="00A22159" w:rsidRPr="00474895" w:rsidRDefault="00A22159">
            <w:pPr>
              <w:rPr>
                <w:rFonts w:ascii="Garamond" w:hAnsi="Garamond"/>
                <w:sz w:val="20"/>
                <w:szCs w:val="20"/>
              </w:rPr>
            </w:pPr>
          </w:p>
        </w:tc>
      </w:tr>
    </w:tbl>
    <w:p w:rsidR="007951D9" w:rsidRPr="00474895" w:rsidRDefault="00B03A04">
      <w:pPr>
        <w:rPr>
          <w:rFonts w:ascii="Garamond" w:hAnsi="Garamond"/>
          <w:sz w:val="20"/>
          <w:szCs w:val="20"/>
        </w:rPr>
      </w:pPr>
    </w:p>
    <w:p w:rsidR="00A22159" w:rsidRPr="00474895" w:rsidRDefault="00A22159">
      <w:pPr>
        <w:rPr>
          <w:rFonts w:ascii="Garamond" w:hAnsi="Garamond"/>
          <w:sz w:val="20"/>
          <w:szCs w:val="20"/>
        </w:rPr>
      </w:pPr>
    </w:p>
    <w:p w:rsidR="00A22159" w:rsidRPr="00474895" w:rsidRDefault="00A22159">
      <w:pPr>
        <w:rPr>
          <w:rFonts w:ascii="Garamond" w:hAnsi="Garamond"/>
          <w:sz w:val="20"/>
          <w:szCs w:val="20"/>
        </w:rPr>
      </w:pPr>
    </w:p>
    <w:tbl>
      <w:tblPr>
        <w:tblStyle w:val="TableGrid"/>
        <w:tblW w:w="0" w:type="auto"/>
        <w:tblLook w:val="04A0" w:firstRow="1" w:lastRow="0" w:firstColumn="1" w:lastColumn="0" w:noHBand="0" w:noVBand="1"/>
      </w:tblPr>
      <w:tblGrid>
        <w:gridCol w:w="1665"/>
        <w:gridCol w:w="1664"/>
        <w:gridCol w:w="1664"/>
        <w:gridCol w:w="1570"/>
        <w:gridCol w:w="1421"/>
        <w:gridCol w:w="1556"/>
        <w:gridCol w:w="1678"/>
        <w:gridCol w:w="1732"/>
      </w:tblGrid>
      <w:tr w:rsidR="00A22159" w:rsidRPr="00474895" w:rsidTr="0089188F">
        <w:trPr>
          <w:trHeight w:val="297"/>
        </w:trPr>
        <w:tc>
          <w:tcPr>
            <w:tcW w:w="12950" w:type="dxa"/>
            <w:gridSpan w:val="8"/>
          </w:tcPr>
          <w:p w:rsidR="00A22159" w:rsidRPr="00474895" w:rsidRDefault="00A22159" w:rsidP="0089188F">
            <w:pPr>
              <w:jc w:val="center"/>
              <w:rPr>
                <w:rFonts w:ascii="Garamond" w:hAnsi="Garamond" w:cs="Times New Roman (Body CS)"/>
                <w:b/>
                <w:caps/>
                <w:sz w:val="20"/>
                <w:szCs w:val="20"/>
              </w:rPr>
            </w:pPr>
            <w:r w:rsidRPr="00474895">
              <w:rPr>
                <w:rFonts w:ascii="Garamond" w:hAnsi="Garamond" w:cs="Times New Roman (Body CS)"/>
                <w:b/>
                <w:caps/>
                <w:sz w:val="20"/>
                <w:szCs w:val="20"/>
              </w:rPr>
              <w:t>Employment Opportunities</w:t>
            </w:r>
          </w:p>
        </w:tc>
      </w:tr>
      <w:tr w:rsidR="00A22159" w:rsidRPr="00474895" w:rsidTr="009D6786">
        <w:trPr>
          <w:trHeight w:val="236"/>
        </w:trPr>
        <w:tc>
          <w:tcPr>
            <w:tcW w:w="1665"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Category</w:t>
            </w:r>
          </w:p>
        </w:tc>
        <w:tc>
          <w:tcPr>
            <w:tcW w:w="1664"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Criteria</w:t>
            </w:r>
          </w:p>
        </w:tc>
        <w:tc>
          <w:tcPr>
            <w:tcW w:w="1664"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Definition</w:t>
            </w:r>
          </w:p>
        </w:tc>
        <w:tc>
          <w:tcPr>
            <w:tcW w:w="1570"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Metric</w:t>
            </w:r>
          </w:p>
        </w:tc>
        <w:tc>
          <w:tcPr>
            <w:tcW w:w="1421"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Timeframe</w:t>
            </w:r>
          </w:p>
        </w:tc>
        <w:tc>
          <w:tcPr>
            <w:tcW w:w="1556"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Purpose</w:t>
            </w:r>
          </w:p>
        </w:tc>
        <w:tc>
          <w:tcPr>
            <w:tcW w:w="1678"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Use &amp; Applicability</w:t>
            </w:r>
          </w:p>
        </w:tc>
        <w:tc>
          <w:tcPr>
            <w:tcW w:w="1732" w:type="dxa"/>
            <w:vAlign w:val="center"/>
          </w:tcPr>
          <w:p w:rsidR="00A22159" w:rsidRPr="00474895" w:rsidRDefault="00A22159" w:rsidP="00A22159">
            <w:pPr>
              <w:jc w:val="center"/>
              <w:rPr>
                <w:rFonts w:ascii="Garamond" w:hAnsi="Garamond" w:cs="Arial"/>
                <w:b/>
                <w:bCs/>
                <w:color w:val="363636"/>
                <w:sz w:val="20"/>
                <w:szCs w:val="20"/>
              </w:rPr>
            </w:pPr>
            <w:r w:rsidRPr="00474895">
              <w:rPr>
                <w:rFonts w:ascii="Garamond" w:hAnsi="Garamond" w:cs="Arial"/>
                <w:b/>
                <w:bCs/>
                <w:color w:val="363636"/>
                <w:sz w:val="20"/>
                <w:szCs w:val="20"/>
              </w:rPr>
              <w:t>Source</w:t>
            </w:r>
          </w:p>
        </w:tc>
      </w:tr>
      <w:tr w:rsidR="00004D23" w:rsidRPr="00474895" w:rsidTr="009D6786">
        <w:trPr>
          <w:trHeight w:val="2360"/>
        </w:trPr>
        <w:tc>
          <w:tcPr>
            <w:tcW w:w="1665" w:type="dxa"/>
            <w:vAlign w:val="center"/>
          </w:tcPr>
          <w:p w:rsidR="00004D23" w:rsidRPr="00474895" w:rsidRDefault="00004D23" w:rsidP="00004D23">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Burning Glass Technologies</w:t>
            </w:r>
          </w:p>
        </w:tc>
        <w:tc>
          <w:tcPr>
            <w:tcW w:w="1664"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Total number of new job postings in occupations directly related to the program found online over the past year by Burning Glass Technologies</w:t>
            </w:r>
          </w:p>
        </w:tc>
        <w:tc>
          <w:tcPr>
            <w:tcW w:w="1570"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Past Year New Job Postings</w:t>
            </w:r>
          </w:p>
        </w:tc>
        <w:tc>
          <w:tcPr>
            <w:tcW w:w="1421"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Q1 2018 - Q4 2018</w:t>
            </w:r>
          </w:p>
        </w:tc>
        <w:tc>
          <w:tcPr>
            <w:tcW w:w="1556"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Size-up the employment opportunity for graduates</w:t>
            </w:r>
          </w:p>
        </w:tc>
        <w:tc>
          <w:tcPr>
            <w:tcW w:w="1678"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Job postings are the most current information available on employment opportunities. All employment and job openings data is sensitive to how occupation-level data is matched to academic programs.</w:t>
            </w:r>
          </w:p>
        </w:tc>
        <w:tc>
          <w:tcPr>
            <w:tcW w:w="1732"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New Job Postings and New Job Postings Growth from Burning Glass Technologies, mapped from SOC to CIP by Gray.</w:t>
            </w:r>
          </w:p>
        </w:tc>
      </w:tr>
      <w:tr w:rsidR="00004D23" w:rsidRPr="00474895" w:rsidTr="009D6786">
        <w:trPr>
          <w:trHeight w:val="297"/>
        </w:trPr>
        <w:tc>
          <w:tcPr>
            <w:tcW w:w="1665" w:type="dxa"/>
            <w:vAlign w:val="center"/>
          </w:tcPr>
          <w:p w:rsidR="00004D23" w:rsidRPr="00474895" w:rsidRDefault="00004D23" w:rsidP="00004D23">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Burning Glass Technologies</w:t>
            </w:r>
          </w:p>
        </w:tc>
        <w:tc>
          <w:tcPr>
            <w:tcW w:w="1664"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Year-over-year unit change in the total number of new job postings in occupations directly related to the program found online by Burning Glass Technologies</w:t>
            </w:r>
          </w:p>
        </w:tc>
        <w:tc>
          <w:tcPr>
            <w:tcW w:w="1570"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BGT:  YoY Unit Change in New Job Postings</w:t>
            </w:r>
          </w:p>
        </w:tc>
        <w:tc>
          <w:tcPr>
            <w:tcW w:w="1421"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Q1 2018 - Q4 2018 vs. Q1 2017 - Q4 2017</w:t>
            </w:r>
          </w:p>
        </w:tc>
        <w:tc>
          <w:tcPr>
            <w:tcW w:w="1556"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Identify emerging and declining career fields</w:t>
            </w:r>
          </w:p>
        </w:tc>
        <w:tc>
          <w:tcPr>
            <w:tcW w:w="1678"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Job postings are the most current information available on employment opportunities. All employment and job openings data is sensitive to how occupation-level data is matched to academic programs.</w:t>
            </w:r>
          </w:p>
        </w:tc>
        <w:tc>
          <w:tcPr>
            <w:tcW w:w="1732"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New Job Postings and New Job Postings Growth from Burning Glass Technologies, mapped from SOC to CIP by Gray.</w:t>
            </w:r>
          </w:p>
        </w:tc>
      </w:tr>
      <w:tr w:rsidR="00004D23" w:rsidRPr="00474895" w:rsidTr="009D6786">
        <w:trPr>
          <w:trHeight w:val="297"/>
        </w:trPr>
        <w:tc>
          <w:tcPr>
            <w:tcW w:w="1665" w:type="dxa"/>
            <w:vAlign w:val="center"/>
          </w:tcPr>
          <w:p w:rsidR="00004D23" w:rsidRPr="00474895" w:rsidRDefault="00004D23" w:rsidP="00004D23">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Burning Glass Technologies</w:t>
            </w:r>
          </w:p>
        </w:tc>
        <w:tc>
          <w:tcPr>
            <w:tcW w:w="1664"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Year-over-year percentage change in new job postings in occupations directly related to the program found online by Burning Glass Technologies</w:t>
            </w:r>
          </w:p>
        </w:tc>
        <w:tc>
          <w:tcPr>
            <w:tcW w:w="1570"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BGT: YoY % Change in New Job Postings</w:t>
            </w:r>
          </w:p>
        </w:tc>
        <w:tc>
          <w:tcPr>
            <w:tcW w:w="1421"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Q1 2018 - Q4 2018 vs. Q1 2017 - Q4 2018</w:t>
            </w:r>
          </w:p>
        </w:tc>
        <w:tc>
          <w:tcPr>
            <w:tcW w:w="1556"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Identify emerging and declining career fields</w:t>
            </w:r>
          </w:p>
        </w:tc>
        <w:tc>
          <w:tcPr>
            <w:tcW w:w="1678"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Job postings are the most current information available on employment opportunities. All employment and job openings data is sensitive to how occupation-level data is matched to academic programs.</w:t>
            </w:r>
          </w:p>
        </w:tc>
        <w:tc>
          <w:tcPr>
            <w:tcW w:w="1732"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New Job Postings and New Job Postings Growth from Burning Glass Technologies, mapped from SOC to CIP by Gray.</w:t>
            </w:r>
          </w:p>
        </w:tc>
      </w:tr>
      <w:tr w:rsidR="00004D23" w:rsidRPr="00474895" w:rsidTr="009D6786">
        <w:trPr>
          <w:trHeight w:val="297"/>
        </w:trPr>
        <w:tc>
          <w:tcPr>
            <w:tcW w:w="1665" w:type="dxa"/>
            <w:vAlign w:val="center"/>
          </w:tcPr>
          <w:p w:rsidR="00004D23" w:rsidRPr="00474895" w:rsidRDefault="00004D23" w:rsidP="00004D23">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Bureau of Labor Statistics</w:t>
            </w:r>
          </w:p>
        </w:tc>
        <w:tc>
          <w:tcPr>
            <w:tcW w:w="1664"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BLS' estimate of the total number of people currently employed in occupations for which the program directly prepares graduates</w:t>
            </w:r>
          </w:p>
        </w:tc>
        <w:tc>
          <w:tcPr>
            <w:tcW w:w="1570"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Total Employment</w:t>
            </w:r>
          </w:p>
        </w:tc>
        <w:tc>
          <w:tcPr>
            <w:tcW w:w="1421" w:type="dxa"/>
            <w:vAlign w:val="center"/>
          </w:tcPr>
          <w:p w:rsidR="00004D23" w:rsidRPr="00474895" w:rsidRDefault="00004D23" w:rsidP="00004D23">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556"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Size-up the directly related employment opportunity for graduates</w:t>
            </w:r>
          </w:p>
        </w:tc>
        <w:tc>
          <w:tcPr>
            <w:tcW w:w="1678"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BLS is best source of data on the number of people employed in a field. All employment and job openings data is sensitive to how occupation-level data is matched to academic programs.</w:t>
            </w:r>
          </w:p>
        </w:tc>
        <w:tc>
          <w:tcPr>
            <w:tcW w:w="1732"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Bureau of Labor Statistics mapped from SOC to CIP by Gray</w:t>
            </w:r>
          </w:p>
        </w:tc>
      </w:tr>
      <w:tr w:rsidR="005A4CD1" w:rsidRPr="00474895" w:rsidTr="009D6786">
        <w:trPr>
          <w:trHeight w:val="297"/>
        </w:trPr>
        <w:tc>
          <w:tcPr>
            <w:tcW w:w="1665" w:type="dxa"/>
            <w:vAlign w:val="center"/>
          </w:tcPr>
          <w:p w:rsidR="005A4CD1" w:rsidRPr="00474895" w:rsidRDefault="005A4CD1" w:rsidP="005A4CD1">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5A4CD1" w:rsidRPr="00474895" w:rsidRDefault="005A4CD1" w:rsidP="005A4CD1">
            <w:pPr>
              <w:rPr>
                <w:rFonts w:ascii="Garamond" w:hAnsi="Garamond" w:cs="Arial"/>
                <w:color w:val="363636"/>
                <w:sz w:val="20"/>
                <w:szCs w:val="20"/>
              </w:rPr>
            </w:pPr>
            <w:r w:rsidRPr="00474895">
              <w:rPr>
                <w:rFonts w:ascii="Garamond" w:hAnsi="Garamond" w:cs="Arial"/>
                <w:color w:val="363636"/>
                <w:sz w:val="20"/>
                <w:szCs w:val="20"/>
              </w:rPr>
              <w:t>Bureau of Labor Statistics</w:t>
            </w:r>
          </w:p>
        </w:tc>
        <w:tc>
          <w:tcPr>
            <w:tcW w:w="1664" w:type="dxa"/>
            <w:vAlign w:val="center"/>
          </w:tcPr>
          <w:p w:rsidR="005A4CD1" w:rsidRPr="00474895" w:rsidRDefault="005A4CD1" w:rsidP="005A4CD1">
            <w:pPr>
              <w:rPr>
                <w:rFonts w:ascii="Garamond" w:hAnsi="Garamond" w:cs="Arial"/>
                <w:color w:val="363636"/>
                <w:sz w:val="20"/>
                <w:szCs w:val="20"/>
              </w:rPr>
            </w:pPr>
            <w:r w:rsidRPr="00474895">
              <w:rPr>
                <w:rFonts w:ascii="Garamond" w:hAnsi="Garamond" w:cs="Arial"/>
                <w:color w:val="363636"/>
                <w:sz w:val="20"/>
                <w:szCs w:val="20"/>
              </w:rPr>
              <w:t>BLS' 1-year historic growth trends (Compound Annual Growth Rate) in relevant employment</w:t>
            </w:r>
          </w:p>
        </w:tc>
        <w:tc>
          <w:tcPr>
            <w:tcW w:w="1570" w:type="dxa"/>
            <w:vAlign w:val="center"/>
          </w:tcPr>
          <w:p w:rsidR="005A4CD1" w:rsidRPr="00474895" w:rsidRDefault="005A4CD1" w:rsidP="005A4CD1">
            <w:pPr>
              <w:rPr>
                <w:rFonts w:ascii="Garamond" w:hAnsi="Garamond" w:cs="Arial"/>
                <w:color w:val="363636"/>
                <w:sz w:val="20"/>
                <w:szCs w:val="20"/>
              </w:rPr>
            </w:pPr>
            <w:r w:rsidRPr="00474895">
              <w:rPr>
                <w:rFonts w:ascii="Garamond" w:hAnsi="Garamond" w:cs="Arial"/>
                <w:color w:val="363636"/>
                <w:sz w:val="20"/>
                <w:szCs w:val="20"/>
              </w:rPr>
              <w:t>Emp. Historical CAGR (1-Year)</w:t>
            </w:r>
          </w:p>
        </w:tc>
        <w:tc>
          <w:tcPr>
            <w:tcW w:w="1421" w:type="dxa"/>
            <w:vAlign w:val="center"/>
          </w:tcPr>
          <w:p w:rsidR="005A4CD1" w:rsidRPr="00474895" w:rsidRDefault="005A4CD1" w:rsidP="005A4CD1">
            <w:pPr>
              <w:rPr>
                <w:rFonts w:ascii="Garamond" w:hAnsi="Garamond" w:cs="Arial"/>
                <w:color w:val="363636"/>
                <w:sz w:val="20"/>
                <w:szCs w:val="20"/>
              </w:rPr>
            </w:pPr>
            <w:r w:rsidRPr="00474895">
              <w:rPr>
                <w:rFonts w:ascii="Garamond" w:hAnsi="Garamond" w:cs="Arial"/>
                <w:color w:val="363636"/>
                <w:sz w:val="20"/>
                <w:szCs w:val="20"/>
              </w:rPr>
              <w:t>2016-2017</w:t>
            </w:r>
          </w:p>
        </w:tc>
        <w:tc>
          <w:tcPr>
            <w:tcW w:w="1556" w:type="dxa"/>
            <w:vAlign w:val="center"/>
          </w:tcPr>
          <w:p w:rsidR="005A4CD1" w:rsidRPr="00474895" w:rsidRDefault="005A4CD1" w:rsidP="005A4CD1">
            <w:pPr>
              <w:rPr>
                <w:rFonts w:ascii="Garamond" w:hAnsi="Garamond" w:cs="Arial"/>
                <w:color w:val="363636"/>
                <w:sz w:val="20"/>
                <w:szCs w:val="20"/>
              </w:rPr>
            </w:pPr>
            <w:r w:rsidRPr="00474895">
              <w:rPr>
                <w:rFonts w:ascii="Garamond" w:hAnsi="Garamond" w:cs="Arial"/>
                <w:color w:val="363636"/>
                <w:sz w:val="20"/>
                <w:szCs w:val="20"/>
              </w:rPr>
              <w:t>Assess trend in employment</w:t>
            </w:r>
          </w:p>
        </w:tc>
        <w:tc>
          <w:tcPr>
            <w:tcW w:w="1678" w:type="dxa"/>
            <w:vAlign w:val="center"/>
          </w:tcPr>
          <w:p w:rsidR="005A4CD1" w:rsidRPr="00474895" w:rsidRDefault="005A4CD1" w:rsidP="005A4CD1">
            <w:pPr>
              <w:rPr>
                <w:rFonts w:ascii="Garamond" w:hAnsi="Garamond" w:cs="Arial"/>
                <w:color w:val="363636"/>
                <w:sz w:val="20"/>
                <w:szCs w:val="20"/>
              </w:rPr>
            </w:pPr>
            <w:r w:rsidRPr="00474895">
              <w:rPr>
                <w:rFonts w:ascii="Garamond" w:hAnsi="Garamond" w:cs="Arial"/>
                <w:color w:val="363636"/>
                <w:sz w:val="20"/>
                <w:szCs w:val="20"/>
              </w:rPr>
              <w:t>Job Openings and Growth are BLS forecasts that are a standard source but have limited predictive accuracy. All employment and job openings data is sensitive to how occupation-level data is matched to academic programs.</w:t>
            </w:r>
          </w:p>
        </w:tc>
        <w:tc>
          <w:tcPr>
            <w:tcW w:w="1732" w:type="dxa"/>
            <w:vAlign w:val="center"/>
          </w:tcPr>
          <w:p w:rsidR="005A4CD1" w:rsidRPr="00474895" w:rsidRDefault="005A4CD1" w:rsidP="005A4CD1">
            <w:pPr>
              <w:rPr>
                <w:rFonts w:ascii="Garamond" w:hAnsi="Garamond" w:cs="Arial"/>
                <w:color w:val="363636"/>
                <w:sz w:val="20"/>
                <w:szCs w:val="20"/>
              </w:rPr>
            </w:pPr>
            <w:r w:rsidRPr="00474895">
              <w:rPr>
                <w:rFonts w:ascii="Garamond" w:hAnsi="Garamond" w:cs="Arial"/>
                <w:color w:val="363636"/>
                <w:sz w:val="20"/>
                <w:szCs w:val="20"/>
              </w:rPr>
              <w:t>Bureau of Labor Statistics mapped from SOC to CIP by Gray</w:t>
            </w:r>
          </w:p>
        </w:tc>
      </w:tr>
      <w:tr w:rsidR="00004D23" w:rsidRPr="00474895" w:rsidTr="009D6786">
        <w:trPr>
          <w:trHeight w:val="297"/>
        </w:trPr>
        <w:tc>
          <w:tcPr>
            <w:tcW w:w="1665" w:type="dxa"/>
            <w:vAlign w:val="center"/>
          </w:tcPr>
          <w:p w:rsidR="00004D23" w:rsidRPr="00474895" w:rsidRDefault="00004D23" w:rsidP="00004D23">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Bureau of Labor Statistics</w:t>
            </w:r>
          </w:p>
        </w:tc>
        <w:tc>
          <w:tcPr>
            <w:tcW w:w="1664"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BLS' 3-year historic growth trends (Compound Annual Growth Rate) in relevant employment</w:t>
            </w:r>
          </w:p>
        </w:tc>
        <w:tc>
          <w:tcPr>
            <w:tcW w:w="1570"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Emp. Historical CAGR (3-Year)</w:t>
            </w:r>
          </w:p>
        </w:tc>
        <w:tc>
          <w:tcPr>
            <w:tcW w:w="1421"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2014-2017</w:t>
            </w:r>
          </w:p>
        </w:tc>
        <w:tc>
          <w:tcPr>
            <w:tcW w:w="1556"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Assess trend in employment</w:t>
            </w:r>
          </w:p>
        </w:tc>
        <w:tc>
          <w:tcPr>
            <w:tcW w:w="1678"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Job Openings and Growth are BLS forecasts that are a standard source but have limited predictive accuracy. All employment and job openings data is sensitive to how occupation-level data is matched to academic programs.</w:t>
            </w:r>
          </w:p>
        </w:tc>
        <w:tc>
          <w:tcPr>
            <w:tcW w:w="1732"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Bureau of Labor Statistics mapped from SOC to CIP by Gray</w:t>
            </w:r>
          </w:p>
        </w:tc>
      </w:tr>
      <w:tr w:rsidR="00004D23" w:rsidRPr="00474895" w:rsidTr="009D6786">
        <w:trPr>
          <w:trHeight w:val="297"/>
        </w:trPr>
        <w:tc>
          <w:tcPr>
            <w:tcW w:w="1665" w:type="dxa"/>
            <w:vAlign w:val="center"/>
          </w:tcPr>
          <w:p w:rsidR="00004D23" w:rsidRPr="00474895" w:rsidRDefault="00004D23" w:rsidP="00004D23">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Bureau of Labor Statistics</w:t>
            </w:r>
          </w:p>
        </w:tc>
        <w:tc>
          <w:tcPr>
            <w:tcW w:w="1664"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BLS' 5-year historic growth trends (Compound Annual Growth Rate) in relevant employment</w:t>
            </w:r>
          </w:p>
        </w:tc>
        <w:tc>
          <w:tcPr>
            <w:tcW w:w="1570"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Emp. Historical CAGR (5-Year)</w:t>
            </w:r>
          </w:p>
        </w:tc>
        <w:tc>
          <w:tcPr>
            <w:tcW w:w="1421"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2012-2017</w:t>
            </w:r>
          </w:p>
        </w:tc>
        <w:tc>
          <w:tcPr>
            <w:tcW w:w="1556"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Assess trend in employment</w:t>
            </w:r>
          </w:p>
        </w:tc>
        <w:tc>
          <w:tcPr>
            <w:tcW w:w="1678"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Job Openings and Growth are BLS forecasts that are a standard source but have limited predictive accuracy. All employment and job openings data is sensitive to how occupation-level data is matched to academic programs.</w:t>
            </w:r>
          </w:p>
        </w:tc>
        <w:tc>
          <w:tcPr>
            <w:tcW w:w="1732" w:type="dxa"/>
            <w:vAlign w:val="center"/>
          </w:tcPr>
          <w:p w:rsidR="00004D23" w:rsidRPr="00474895" w:rsidRDefault="00004D23" w:rsidP="00004D23">
            <w:pPr>
              <w:rPr>
                <w:rFonts w:ascii="Garamond" w:hAnsi="Garamond" w:cs="Arial"/>
                <w:color w:val="363636"/>
                <w:sz w:val="20"/>
                <w:szCs w:val="20"/>
              </w:rPr>
            </w:pPr>
            <w:r w:rsidRPr="00474895">
              <w:rPr>
                <w:rFonts w:ascii="Garamond" w:hAnsi="Garamond" w:cs="Arial"/>
                <w:color w:val="363636"/>
                <w:sz w:val="20"/>
                <w:szCs w:val="20"/>
              </w:rPr>
              <w:t>Bureau of Labor Statistics mapped from SOC to CIP by Gray</w:t>
            </w:r>
          </w:p>
        </w:tc>
      </w:tr>
      <w:tr w:rsidR="0080616F" w:rsidRPr="00474895" w:rsidTr="009D6786">
        <w:trPr>
          <w:trHeight w:val="297"/>
        </w:trPr>
        <w:tc>
          <w:tcPr>
            <w:tcW w:w="1665" w:type="dxa"/>
            <w:vAlign w:val="center"/>
          </w:tcPr>
          <w:p w:rsidR="0080616F" w:rsidRPr="00474895" w:rsidRDefault="0080616F" w:rsidP="0080616F">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Bureau of Labor Statistics</w:t>
            </w:r>
          </w:p>
        </w:tc>
        <w:tc>
          <w:tcPr>
            <w:tcW w:w="1664"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BLS' estimated Compound Annual Growth Rate (CAGR) for program-related occupations</w:t>
            </w:r>
          </w:p>
        </w:tc>
        <w:tc>
          <w:tcPr>
            <w:tcW w:w="1570"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Emp. Projections CAGR (10-Year)</w:t>
            </w:r>
          </w:p>
        </w:tc>
        <w:tc>
          <w:tcPr>
            <w:tcW w:w="1421"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2016-2026 Projections</w:t>
            </w:r>
          </w:p>
        </w:tc>
        <w:tc>
          <w:tcPr>
            <w:tcW w:w="1556"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Assess future employment market size</w:t>
            </w:r>
          </w:p>
        </w:tc>
        <w:tc>
          <w:tcPr>
            <w:tcW w:w="1678"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Job Openings and Growth are BLS forecasts that are a standard source but have limited predictive accuracy. All employment and job openings data are sensitive to how occupation-level data is matched to academic programs.</w:t>
            </w:r>
          </w:p>
        </w:tc>
        <w:tc>
          <w:tcPr>
            <w:tcW w:w="1732"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Bureau of Labor Statistics mapped from SOC to CIP by Gray</w:t>
            </w:r>
          </w:p>
        </w:tc>
      </w:tr>
      <w:tr w:rsidR="0080616F" w:rsidRPr="00474895" w:rsidTr="009D6786">
        <w:trPr>
          <w:trHeight w:val="297"/>
        </w:trPr>
        <w:tc>
          <w:tcPr>
            <w:tcW w:w="1665" w:type="dxa"/>
            <w:vAlign w:val="center"/>
          </w:tcPr>
          <w:p w:rsidR="0080616F" w:rsidRPr="00474895" w:rsidRDefault="0080616F" w:rsidP="0080616F">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Bureau of Labor Statistics</w:t>
            </w:r>
          </w:p>
        </w:tc>
        <w:tc>
          <w:tcPr>
            <w:tcW w:w="1664"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BLS' estimate of Annual Job Openings in relevant occupations, including growth and turnover</w:t>
            </w:r>
          </w:p>
        </w:tc>
        <w:tc>
          <w:tcPr>
            <w:tcW w:w="1570"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Proj. Annual Job Openings</w:t>
            </w:r>
          </w:p>
        </w:tc>
        <w:tc>
          <w:tcPr>
            <w:tcW w:w="1421"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2016-2026 Projections</w:t>
            </w:r>
          </w:p>
        </w:tc>
        <w:tc>
          <w:tcPr>
            <w:tcW w:w="1556"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Size-up the directly related employment opportunity for graduates</w:t>
            </w:r>
          </w:p>
        </w:tc>
        <w:tc>
          <w:tcPr>
            <w:tcW w:w="1678"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Job Openings and Growth are BLS forecasts that are a standard source but have limited predictive accuracy. All employment and job openings data is sensitive to how occupation-level data is matched to academic programs.</w:t>
            </w:r>
          </w:p>
        </w:tc>
        <w:tc>
          <w:tcPr>
            <w:tcW w:w="1732" w:type="dxa"/>
            <w:vAlign w:val="center"/>
          </w:tcPr>
          <w:p w:rsidR="0080616F" w:rsidRPr="00474895" w:rsidRDefault="0080616F" w:rsidP="0080616F">
            <w:pPr>
              <w:rPr>
                <w:rFonts w:ascii="Garamond" w:hAnsi="Garamond" w:cs="Arial"/>
                <w:color w:val="363636"/>
                <w:sz w:val="20"/>
                <w:szCs w:val="20"/>
              </w:rPr>
            </w:pPr>
            <w:r w:rsidRPr="00474895">
              <w:rPr>
                <w:rFonts w:ascii="Garamond" w:hAnsi="Garamond" w:cs="Arial"/>
                <w:color w:val="363636"/>
                <w:sz w:val="20"/>
                <w:szCs w:val="20"/>
              </w:rPr>
              <w:t>Bureau of Labor Statistics mapped from SOC to CIP by Gray</w:t>
            </w:r>
          </w:p>
        </w:tc>
      </w:tr>
      <w:tr w:rsidR="004A4746" w:rsidRPr="00474895" w:rsidTr="009D6786">
        <w:trPr>
          <w:trHeight w:val="297"/>
        </w:trPr>
        <w:tc>
          <w:tcPr>
            <w:tcW w:w="1665" w:type="dxa"/>
            <w:vAlign w:val="center"/>
          </w:tcPr>
          <w:p w:rsidR="004A4746" w:rsidRPr="00474895" w:rsidRDefault="004A4746" w:rsidP="004A4746">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4A4746" w:rsidRPr="00474895" w:rsidRDefault="004A4746" w:rsidP="004A4746">
            <w:pPr>
              <w:rPr>
                <w:rFonts w:ascii="Garamond" w:hAnsi="Garamond" w:cs="Arial"/>
                <w:color w:val="363636"/>
                <w:sz w:val="20"/>
                <w:szCs w:val="20"/>
              </w:rPr>
            </w:pPr>
            <w:r w:rsidRPr="00474895">
              <w:rPr>
                <w:rFonts w:ascii="Garamond" w:hAnsi="Garamond" w:cs="Arial"/>
                <w:color w:val="363636"/>
                <w:sz w:val="20"/>
                <w:szCs w:val="20"/>
              </w:rPr>
              <w:t>Bureau of Labor Statistics</w:t>
            </w:r>
          </w:p>
        </w:tc>
        <w:tc>
          <w:tcPr>
            <w:tcW w:w="1664" w:type="dxa"/>
            <w:vAlign w:val="center"/>
          </w:tcPr>
          <w:p w:rsidR="004A4746" w:rsidRPr="00474895" w:rsidRDefault="004A4746" w:rsidP="004A4746">
            <w:pPr>
              <w:rPr>
                <w:rFonts w:ascii="Garamond" w:hAnsi="Garamond" w:cs="Arial"/>
                <w:color w:val="363636"/>
                <w:sz w:val="20"/>
                <w:szCs w:val="20"/>
              </w:rPr>
            </w:pPr>
            <w:r w:rsidRPr="00474895">
              <w:rPr>
                <w:rFonts w:ascii="Garamond" w:hAnsi="Garamond" w:cs="Arial"/>
                <w:color w:val="363636"/>
                <w:sz w:val="20"/>
                <w:szCs w:val="20"/>
              </w:rPr>
              <w:t>BLS annual job openings estimate (including growth and re-employment) divided by the number of IPEDS completions for the program</w:t>
            </w:r>
          </w:p>
        </w:tc>
        <w:tc>
          <w:tcPr>
            <w:tcW w:w="1570" w:type="dxa"/>
            <w:vAlign w:val="center"/>
          </w:tcPr>
          <w:p w:rsidR="004A4746" w:rsidRPr="00474895" w:rsidRDefault="004A4746" w:rsidP="004A4746">
            <w:pPr>
              <w:rPr>
                <w:rFonts w:ascii="Garamond" w:hAnsi="Garamond" w:cs="Arial"/>
                <w:color w:val="363636"/>
                <w:sz w:val="20"/>
                <w:szCs w:val="20"/>
              </w:rPr>
            </w:pPr>
            <w:r w:rsidRPr="00474895">
              <w:rPr>
                <w:rFonts w:ascii="Garamond" w:hAnsi="Garamond" w:cs="Arial"/>
                <w:color w:val="363636"/>
                <w:sz w:val="20"/>
                <w:szCs w:val="20"/>
              </w:rPr>
              <w:t>Job Openings Per Grad. (JOG)</w:t>
            </w:r>
          </w:p>
        </w:tc>
        <w:tc>
          <w:tcPr>
            <w:tcW w:w="1421" w:type="dxa"/>
            <w:vAlign w:val="center"/>
          </w:tcPr>
          <w:p w:rsidR="004A4746" w:rsidRPr="00474895" w:rsidRDefault="004A4746" w:rsidP="004A4746">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556" w:type="dxa"/>
            <w:vAlign w:val="center"/>
          </w:tcPr>
          <w:p w:rsidR="004A4746" w:rsidRPr="00474895" w:rsidRDefault="004A4746" w:rsidP="004A4746">
            <w:pPr>
              <w:rPr>
                <w:rFonts w:ascii="Garamond" w:hAnsi="Garamond" w:cs="Arial"/>
                <w:color w:val="363636"/>
                <w:sz w:val="20"/>
                <w:szCs w:val="20"/>
              </w:rPr>
            </w:pPr>
            <w:r w:rsidRPr="00474895">
              <w:rPr>
                <w:rFonts w:ascii="Garamond" w:hAnsi="Garamond" w:cs="Arial"/>
                <w:color w:val="363636"/>
                <w:sz w:val="20"/>
                <w:szCs w:val="20"/>
              </w:rPr>
              <w:t>Size-up the employment opportunity for graduates</w:t>
            </w:r>
          </w:p>
        </w:tc>
        <w:tc>
          <w:tcPr>
            <w:tcW w:w="1678" w:type="dxa"/>
            <w:vAlign w:val="center"/>
          </w:tcPr>
          <w:p w:rsidR="004A4746" w:rsidRPr="00474895" w:rsidRDefault="004A4746" w:rsidP="004A4746">
            <w:pPr>
              <w:rPr>
                <w:rFonts w:ascii="Garamond" w:hAnsi="Garamond" w:cs="Arial"/>
                <w:color w:val="363636"/>
                <w:sz w:val="20"/>
                <w:szCs w:val="20"/>
              </w:rPr>
            </w:pPr>
            <w:r w:rsidRPr="00474895">
              <w:rPr>
                <w:rFonts w:ascii="Garamond" w:hAnsi="Garamond" w:cs="Arial"/>
                <w:color w:val="363636"/>
                <w:sz w:val="20"/>
                <w:szCs w:val="20"/>
              </w:rPr>
              <w:t>Job Openings and Growth are BLS forecasts that are a standard source but have limited predictive accuracy. All employment and job openings data is sensitive to how occupation-level data is matched to academic programs.</w:t>
            </w:r>
          </w:p>
        </w:tc>
        <w:tc>
          <w:tcPr>
            <w:tcW w:w="1732" w:type="dxa"/>
            <w:vAlign w:val="center"/>
          </w:tcPr>
          <w:p w:rsidR="004A4746" w:rsidRPr="00474895" w:rsidRDefault="004A4746" w:rsidP="004A4746">
            <w:pPr>
              <w:rPr>
                <w:rFonts w:ascii="Garamond" w:hAnsi="Garamond" w:cs="Arial"/>
                <w:color w:val="363636"/>
                <w:sz w:val="20"/>
                <w:szCs w:val="20"/>
              </w:rPr>
            </w:pPr>
            <w:r w:rsidRPr="00474895">
              <w:rPr>
                <w:rFonts w:ascii="Garamond" w:hAnsi="Garamond" w:cs="Arial"/>
                <w:color w:val="363636"/>
                <w:sz w:val="20"/>
                <w:szCs w:val="20"/>
              </w:rPr>
              <w:t>Bureau of Labor Statistics mapped from SOC to CIP by Gray</w:t>
            </w:r>
          </w:p>
        </w:tc>
      </w:tr>
      <w:tr w:rsidR="00C37DDE" w:rsidRPr="00474895" w:rsidTr="009D6786">
        <w:trPr>
          <w:trHeight w:val="297"/>
        </w:trPr>
        <w:tc>
          <w:tcPr>
            <w:tcW w:w="1665" w:type="dxa"/>
            <w:vAlign w:val="center"/>
          </w:tcPr>
          <w:p w:rsidR="00C37DDE" w:rsidRPr="00474895" w:rsidRDefault="00C37DDE" w:rsidP="00C37DDE">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Bureau of Labor Statistics</w:t>
            </w:r>
          </w:p>
        </w:tc>
        <w:tc>
          <w:tcPr>
            <w:tcW w:w="1664"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10th-percentile wages for program-related occupations, by aware level, as reported by BLS</w:t>
            </w:r>
          </w:p>
        </w:tc>
        <w:tc>
          <w:tcPr>
            <w:tcW w:w="1570"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Wages</w:t>
            </w:r>
          </w:p>
        </w:tc>
        <w:tc>
          <w:tcPr>
            <w:tcW w:w="1421" w:type="dxa"/>
            <w:vAlign w:val="center"/>
          </w:tcPr>
          <w:p w:rsidR="00C37DDE" w:rsidRPr="00474895" w:rsidRDefault="00C37DDE" w:rsidP="00C37DDE">
            <w:pPr>
              <w:jc w:val="right"/>
              <w:rPr>
                <w:rFonts w:ascii="Garamond" w:hAnsi="Garamond" w:cs="Arial"/>
                <w:color w:val="363636"/>
                <w:sz w:val="20"/>
                <w:szCs w:val="20"/>
              </w:rPr>
            </w:pPr>
            <w:r w:rsidRPr="00474895">
              <w:rPr>
                <w:rFonts w:ascii="Garamond" w:hAnsi="Garamond" w:cs="Arial"/>
                <w:color w:val="363636"/>
                <w:sz w:val="20"/>
                <w:szCs w:val="20"/>
              </w:rPr>
              <w:t>2016</w:t>
            </w:r>
          </w:p>
        </w:tc>
        <w:tc>
          <w:tcPr>
            <w:tcW w:w="1556"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Identify programs with good student ROI; meet GE standards</w:t>
            </w:r>
          </w:p>
        </w:tc>
        <w:tc>
          <w:tcPr>
            <w:tcW w:w="1678"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BLS 10th percentile wages are a proxy for entry-level wages in an occupation in a specific market and are commonly used by institutions when assessing Gainful Employment risks. All employment and job openings data is sensitive to how occupation-level data is matched to academic programs.</w:t>
            </w:r>
          </w:p>
        </w:tc>
        <w:tc>
          <w:tcPr>
            <w:tcW w:w="1732"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Bureau of Labor Statistics mapped from SOC to CIP by Gray</w:t>
            </w:r>
          </w:p>
        </w:tc>
      </w:tr>
      <w:tr w:rsidR="00C37DDE" w:rsidRPr="00474895" w:rsidTr="009D6786">
        <w:trPr>
          <w:trHeight w:val="297"/>
        </w:trPr>
        <w:tc>
          <w:tcPr>
            <w:tcW w:w="1665" w:type="dxa"/>
            <w:vAlign w:val="center"/>
          </w:tcPr>
          <w:p w:rsidR="00C37DDE" w:rsidRPr="00474895" w:rsidRDefault="00C37DDE" w:rsidP="00C37DDE">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Bureau of Labor Statistics</w:t>
            </w:r>
          </w:p>
        </w:tc>
        <w:tc>
          <w:tcPr>
            <w:tcW w:w="1664"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BLS estimate of the total number of jobs in general occupations that graduates could obtain</w:t>
            </w:r>
          </w:p>
        </w:tc>
        <w:tc>
          <w:tcPr>
            <w:tcW w:w="1570"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BLS Generalist Jobs</w:t>
            </w:r>
          </w:p>
        </w:tc>
        <w:tc>
          <w:tcPr>
            <w:tcW w:w="1421" w:type="dxa"/>
            <w:vAlign w:val="center"/>
          </w:tcPr>
          <w:p w:rsidR="00C37DDE" w:rsidRPr="00474895" w:rsidRDefault="00C37DDE" w:rsidP="00C37DDE">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556"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Size-up the employment opportunity in general fields for graduates</w:t>
            </w:r>
          </w:p>
        </w:tc>
        <w:tc>
          <w:tcPr>
            <w:tcW w:w="1678"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Job Openings and Growth are BLS forecasts that are a standard source but have limited predictive accuracy. All employment and job openings data is sensitive to how occupation-level data is matched to academic programs.</w:t>
            </w:r>
          </w:p>
        </w:tc>
        <w:tc>
          <w:tcPr>
            <w:tcW w:w="1732"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Bureau of Labor Statistics mapped from SOC to CIP by Gray</w:t>
            </w:r>
          </w:p>
        </w:tc>
      </w:tr>
      <w:tr w:rsidR="00C37DDE" w:rsidRPr="00474895" w:rsidTr="009D6786">
        <w:trPr>
          <w:trHeight w:val="297"/>
        </w:trPr>
        <w:tc>
          <w:tcPr>
            <w:tcW w:w="1665" w:type="dxa"/>
            <w:vAlign w:val="center"/>
          </w:tcPr>
          <w:p w:rsidR="00C37DDE" w:rsidRPr="00474895" w:rsidRDefault="00C37DDE" w:rsidP="00C37DDE">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Bureau of Labor Statistics</w:t>
            </w:r>
          </w:p>
        </w:tc>
        <w:tc>
          <w:tcPr>
            <w:tcW w:w="1664"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BLS estimate of the total number of job openings in general fields, including growth and re-employment</w:t>
            </w:r>
          </w:p>
        </w:tc>
        <w:tc>
          <w:tcPr>
            <w:tcW w:w="1570"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BLS Generalist Jobs Openings</w:t>
            </w:r>
          </w:p>
        </w:tc>
        <w:tc>
          <w:tcPr>
            <w:tcW w:w="1421" w:type="dxa"/>
            <w:vAlign w:val="center"/>
          </w:tcPr>
          <w:p w:rsidR="00C37DDE" w:rsidRPr="00474895" w:rsidRDefault="00C37DDE" w:rsidP="00C37DDE">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556"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Size-up the employment opportunity for graduates</w:t>
            </w:r>
          </w:p>
        </w:tc>
        <w:tc>
          <w:tcPr>
            <w:tcW w:w="1678"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Job Openings and Growth are BLS forecasts that are a standard source but have limited predictive accuracy. All employment and job openings data is sensitive to how occupation-level data is matched to academic programs.</w:t>
            </w:r>
          </w:p>
        </w:tc>
        <w:tc>
          <w:tcPr>
            <w:tcW w:w="1732" w:type="dxa"/>
            <w:vAlign w:val="center"/>
          </w:tcPr>
          <w:p w:rsidR="00C37DDE" w:rsidRPr="00474895" w:rsidRDefault="00C37DDE" w:rsidP="00C37DDE">
            <w:pPr>
              <w:rPr>
                <w:rFonts w:ascii="Garamond" w:hAnsi="Garamond" w:cs="Arial"/>
                <w:color w:val="363636"/>
                <w:sz w:val="20"/>
                <w:szCs w:val="20"/>
              </w:rPr>
            </w:pPr>
            <w:r w:rsidRPr="00474895">
              <w:rPr>
                <w:rFonts w:ascii="Garamond" w:hAnsi="Garamond" w:cs="Arial"/>
                <w:color w:val="363636"/>
                <w:sz w:val="20"/>
                <w:szCs w:val="20"/>
              </w:rPr>
              <w:t>Bureau of Labor Statistics mapped from SOC to CIP by Gray</w:t>
            </w:r>
          </w:p>
        </w:tc>
      </w:tr>
      <w:tr w:rsidR="009D6786" w:rsidRPr="00474895" w:rsidTr="009D6786">
        <w:trPr>
          <w:trHeight w:val="297"/>
        </w:trPr>
        <w:tc>
          <w:tcPr>
            <w:tcW w:w="1665"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 Wages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National weighted-average wage for full-time-employed graduates of bachelor’s-level programs under the age of 30</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National ACS Wages (Age &lt; 30)</w:t>
            </w:r>
          </w:p>
        </w:tc>
        <w:tc>
          <w:tcPr>
            <w:tcW w:w="14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w:t>
            </w:r>
          </w:p>
        </w:tc>
        <w:tc>
          <w:tcPr>
            <w:tcW w:w="1556"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Evaluate moderate-term student employment outcomes for Bachelor’s-degree programs and Associate’s-degree transfer programs</w:t>
            </w:r>
          </w:p>
        </w:tc>
        <w:tc>
          <w:tcPr>
            <w:tcW w:w="167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Best available data on actual wage outcomes of Bachelor’s degree programs – particularly for programs that could lead to a wide range of occupational fields. Level of detail is between 4-digit and 6-digit CIP, so slightly less detailed than other employment outcomes data. Excludes people who are not full-time employed (voluntarily or otherwise), so not a good metric for the odds of finding a job</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Analysis of roughly two million records in the Public Use Micro Sample from the American Community Survey.</w:t>
            </w:r>
          </w:p>
        </w:tc>
      </w:tr>
      <w:tr w:rsidR="009D6786" w:rsidRPr="00474895" w:rsidTr="009D6786">
        <w:trPr>
          <w:trHeight w:val="297"/>
        </w:trPr>
        <w:tc>
          <w:tcPr>
            <w:tcW w:w="1665"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 Wages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National weighted-average wage for full-time-employed graduates of bachelor’s-level programs between the ages of 30 and 60</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National ACS Wages (Age 30-60)</w:t>
            </w:r>
          </w:p>
        </w:tc>
        <w:tc>
          <w:tcPr>
            <w:tcW w:w="14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w:t>
            </w:r>
          </w:p>
        </w:tc>
        <w:tc>
          <w:tcPr>
            <w:tcW w:w="1556"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Evaluate moderate-term student employment outcomes for Bachelor’s-degree programs and Associate’s-degree transfer programs</w:t>
            </w:r>
          </w:p>
        </w:tc>
        <w:tc>
          <w:tcPr>
            <w:tcW w:w="167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Best available data on actual wage outcomes of Bachelor’s degree programs – particularly for programs that could lead to a wide range of occupational fields. Level of detail is between 4-digit and 6-digit CIP, so slightly less detailed than other employment outcomes data. Excludes people who are not full-time employed (voluntarily or otherwise), so not a good metric for the odds of finding a job</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Analysis of roughly two million records in the Public Use Micro Sample from the American Community Survey.</w:t>
            </w:r>
          </w:p>
        </w:tc>
      </w:tr>
      <w:tr w:rsidR="009D6786" w:rsidRPr="00474895" w:rsidTr="009D6786">
        <w:trPr>
          <w:trHeight w:val="297"/>
        </w:trPr>
        <w:tc>
          <w:tcPr>
            <w:tcW w:w="1665"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National percentages of Bachelor's degree graduates with a Master's, Doctoral, or Professional degree</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 % w/ Any Graduate Degree</w:t>
            </w:r>
          </w:p>
        </w:tc>
        <w:tc>
          <w:tcPr>
            <w:tcW w:w="14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w:t>
            </w:r>
          </w:p>
        </w:tc>
        <w:tc>
          <w:tcPr>
            <w:tcW w:w="1556"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Identify the percentage of Bachelor's graduates that move on to earn a graduate degree</w:t>
            </w:r>
          </w:p>
        </w:tc>
        <w:tc>
          <w:tcPr>
            <w:tcW w:w="167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Level of detail is between 4- and 6-digit CIP, so slightly less detailed than other employment outcomes data; Data is a national sample, and does not include all graduates of Bachelor's degree programs</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Analysis of roughly two million records in the Public Use Micro Sample from the American Community Survey.</w:t>
            </w:r>
          </w:p>
        </w:tc>
      </w:tr>
      <w:tr w:rsidR="009D6786" w:rsidRPr="00474895" w:rsidTr="009D6786">
        <w:trPr>
          <w:trHeight w:val="297"/>
        </w:trPr>
        <w:tc>
          <w:tcPr>
            <w:tcW w:w="1665"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National percentages of Bachelor's degree graduates with a Master's degree</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 % w/ Masters Degree</w:t>
            </w:r>
          </w:p>
        </w:tc>
        <w:tc>
          <w:tcPr>
            <w:tcW w:w="14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w:t>
            </w:r>
          </w:p>
        </w:tc>
        <w:tc>
          <w:tcPr>
            <w:tcW w:w="1556"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Identify the percentage of Bachelor's graduates that move on to earn a Master's degree</w:t>
            </w:r>
          </w:p>
        </w:tc>
        <w:tc>
          <w:tcPr>
            <w:tcW w:w="167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Level of detail is between 4- and 6-digit CIP, so slightly less detailed than other employment outcomes data; Data is a national sample, and does not include all graduates of Bachelor's degree programs</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Analysis of roughly two million records in the Public Use Micro Sample from the American Community Survey.</w:t>
            </w:r>
          </w:p>
        </w:tc>
      </w:tr>
      <w:tr w:rsidR="009D6786" w:rsidRPr="00474895" w:rsidTr="009D6786">
        <w:trPr>
          <w:trHeight w:val="297"/>
        </w:trPr>
        <w:tc>
          <w:tcPr>
            <w:tcW w:w="1665"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National percentages of Bachelor's degree graduates with a Doctoral or Professional degree</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 % w/ Doc./Prof. Degree</w:t>
            </w:r>
          </w:p>
        </w:tc>
        <w:tc>
          <w:tcPr>
            <w:tcW w:w="14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w:t>
            </w:r>
          </w:p>
        </w:tc>
        <w:tc>
          <w:tcPr>
            <w:tcW w:w="1556"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Identify the percentage of Bachelor's graduates that move on to earn a Doctoral or Professional degree</w:t>
            </w:r>
          </w:p>
        </w:tc>
        <w:tc>
          <w:tcPr>
            <w:tcW w:w="167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Level of detail is between 4- and 6-digit CIP, so slightly less detailed than other employment outcomes data; Data is a national sample, and does not include all graduates of Bachelor's degree programs</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Analysis of roughly two million records in the Public Use Micro Sample from the American Community Survey.</w:t>
            </w:r>
          </w:p>
        </w:tc>
      </w:tr>
      <w:tr w:rsidR="009D6786" w:rsidRPr="00474895" w:rsidTr="009D6786">
        <w:trPr>
          <w:trHeight w:val="297"/>
        </w:trPr>
        <w:tc>
          <w:tcPr>
            <w:tcW w:w="1665"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National percentage of Bachelor's degree graduates who are unemployed and under the age of 30</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 % Unemp. &lt;30</w:t>
            </w:r>
          </w:p>
        </w:tc>
        <w:tc>
          <w:tcPr>
            <w:tcW w:w="14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w:t>
            </w:r>
          </w:p>
        </w:tc>
        <w:tc>
          <w:tcPr>
            <w:tcW w:w="1556"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Evaluate the moderate-term ability to find a job with a Bachelor's degree</w:t>
            </w:r>
          </w:p>
        </w:tc>
        <w:tc>
          <w:tcPr>
            <w:tcW w:w="167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Level of detail is between 4- and 6-digit CIP, so slightly less detailed than other employment outcomes data; Data is a national sample, and does not include all graduates of Bachelor's degree programs</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Analysis of roughly two million records in the Public Use Micro Sample from the American Community Survey.</w:t>
            </w:r>
          </w:p>
        </w:tc>
      </w:tr>
      <w:tr w:rsidR="009D6786" w:rsidRPr="00474895" w:rsidTr="009D6786">
        <w:trPr>
          <w:trHeight w:val="297"/>
        </w:trPr>
        <w:tc>
          <w:tcPr>
            <w:tcW w:w="1665"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National percentage of Bachelor's degree graduates who are unemployed and are ages 30 to 60</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 % Unemp. 30-60</w:t>
            </w:r>
          </w:p>
        </w:tc>
        <w:tc>
          <w:tcPr>
            <w:tcW w:w="14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w:t>
            </w:r>
          </w:p>
        </w:tc>
        <w:tc>
          <w:tcPr>
            <w:tcW w:w="1556"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Evaluate the longterm ability to find a job with a Bachelor's degree</w:t>
            </w:r>
          </w:p>
        </w:tc>
        <w:tc>
          <w:tcPr>
            <w:tcW w:w="167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Level of detail is between 4- and 6-digit CIP, so slightly less detailed than other employment outcomes data; Data is a national sample, and does not include all graduates of Bachelor's degree programs</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Analysis of roughly two million records in the Public Use Micro Sample from the American Community Survey.</w:t>
            </w:r>
          </w:p>
        </w:tc>
      </w:tr>
      <w:tr w:rsidR="009D6786" w:rsidRPr="00474895" w:rsidTr="009D6786">
        <w:trPr>
          <w:trHeight w:val="297"/>
        </w:trPr>
        <w:tc>
          <w:tcPr>
            <w:tcW w:w="1665"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National percentage of Bachelor's degree graduates that are employed in occupations that are directly related to their program</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ACS % in Direct Prep.</w:t>
            </w:r>
          </w:p>
        </w:tc>
        <w:tc>
          <w:tcPr>
            <w:tcW w:w="14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w:t>
            </w:r>
          </w:p>
        </w:tc>
        <w:tc>
          <w:tcPr>
            <w:tcW w:w="1556"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Identify the percentage of Bachelor's graduates that are employed in fields directly related to their major</w:t>
            </w:r>
          </w:p>
        </w:tc>
        <w:tc>
          <w:tcPr>
            <w:tcW w:w="167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Level of detail is between 4- and 6-digit CIP, so slightly less detailed than other employment outcomes data; Data is a national sample, and does not include all graduates of Bachelor's degree programs</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Analysis of roughly two million records in the Public Use Micro Sample from the American Community Survey.</w:t>
            </w:r>
          </w:p>
        </w:tc>
      </w:tr>
      <w:tr w:rsidR="009D6786" w:rsidRPr="00474895" w:rsidTr="009D6786">
        <w:trPr>
          <w:trHeight w:val="297"/>
        </w:trPr>
        <w:tc>
          <w:tcPr>
            <w:tcW w:w="1665" w:type="dxa"/>
            <w:vAlign w:val="center"/>
          </w:tcPr>
          <w:p w:rsidR="009D6786" w:rsidRPr="00474895" w:rsidRDefault="009D6786" w:rsidP="00C37DDE">
            <w:pPr>
              <w:rPr>
                <w:rFonts w:ascii="Garamond" w:hAnsi="Garamond" w:cs="Arial"/>
                <w:color w:val="363636"/>
                <w:sz w:val="20"/>
                <w:szCs w:val="20"/>
              </w:rPr>
            </w:pPr>
          </w:p>
        </w:tc>
        <w:tc>
          <w:tcPr>
            <w:tcW w:w="1664" w:type="dxa"/>
            <w:vAlign w:val="center"/>
          </w:tcPr>
          <w:p w:rsidR="009D6786" w:rsidRPr="00474895" w:rsidRDefault="009D6786" w:rsidP="00C37DDE">
            <w:pPr>
              <w:rPr>
                <w:rFonts w:ascii="Garamond" w:hAnsi="Garamond" w:cs="Arial"/>
                <w:color w:val="363636"/>
                <w:sz w:val="20"/>
                <w:szCs w:val="20"/>
              </w:rPr>
            </w:pPr>
          </w:p>
        </w:tc>
        <w:tc>
          <w:tcPr>
            <w:tcW w:w="1664" w:type="dxa"/>
            <w:vAlign w:val="center"/>
          </w:tcPr>
          <w:p w:rsidR="009D6786" w:rsidRPr="00474895" w:rsidRDefault="009D6786" w:rsidP="00C37DDE">
            <w:pPr>
              <w:rPr>
                <w:rFonts w:ascii="Garamond" w:hAnsi="Garamond" w:cs="Arial"/>
                <w:color w:val="363636"/>
                <w:sz w:val="20"/>
                <w:szCs w:val="20"/>
              </w:rPr>
            </w:pPr>
          </w:p>
        </w:tc>
        <w:tc>
          <w:tcPr>
            <w:tcW w:w="1570" w:type="dxa"/>
            <w:vAlign w:val="center"/>
          </w:tcPr>
          <w:p w:rsidR="009D6786" w:rsidRPr="00474895" w:rsidRDefault="009D6786" w:rsidP="00C37DDE">
            <w:pPr>
              <w:rPr>
                <w:rFonts w:ascii="Garamond" w:hAnsi="Garamond" w:cs="Arial"/>
                <w:color w:val="363636"/>
                <w:sz w:val="20"/>
                <w:szCs w:val="20"/>
              </w:rPr>
            </w:pPr>
          </w:p>
        </w:tc>
        <w:tc>
          <w:tcPr>
            <w:tcW w:w="1421" w:type="dxa"/>
            <w:vAlign w:val="center"/>
          </w:tcPr>
          <w:p w:rsidR="009D6786" w:rsidRPr="00474895" w:rsidRDefault="009D6786" w:rsidP="00C37DDE">
            <w:pPr>
              <w:jc w:val="right"/>
              <w:rPr>
                <w:rFonts w:ascii="Garamond" w:hAnsi="Garamond" w:cs="Arial"/>
                <w:color w:val="363636"/>
                <w:sz w:val="20"/>
                <w:szCs w:val="20"/>
              </w:rPr>
            </w:pPr>
          </w:p>
        </w:tc>
        <w:tc>
          <w:tcPr>
            <w:tcW w:w="1556" w:type="dxa"/>
            <w:vAlign w:val="center"/>
          </w:tcPr>
          <w:p w:rsidR="009D6786" w:rsidRPr="00474895" w:rsidRDefault="009D6786" w:rsidP="00C37DDE">
            <w:pPr>
              <w:rPr>
                <w:rFonts w:ascii="Garamond" w:hAnsi="Garamond" w:cs="Arial"/>
                <w:color w:val="363636"/>
                <w:sz w:val="20"/>
                <w:szCs w:val="20"/>
              </w:rPr>
            </w:pPr>
          </w:p>
        </w:tc>
        <w:tc>
          <w:tcPr>
            <w:tcW w:w="1678" w:type="dxa"/>
            <w:vAlign w:val="center"/>
          </w:tcPr>
          <w:p w:rsidR="009D6786" w:rsidRPr="00474895" w:rsidRDefault="009D6786" w:rsidP="00C37DDE">
            <w:pPr>
              <w:rPr>
                <w:rFonts w:ascii="Garamond" w:hAnsi="Garamond" w:cs="Arial"/>
                <w:color w:val="363636"/>
                <w:sz w:val="20"/>
                <w:szCs w:val="20"/>
              </w:rPr>
            </w:pPr>
          </w:p>
        </w:tc>
        <w:tc>
          <w:tcPr>
            <w:tcW w:w="1732" w:type="dxa"/>
            <w:vAlign w:val="center"/>
          </w:tcPr>
          <w:p w:rsidR="009D6786" w:rsidRPr="00474895" w:rsidRDefault="009D6786" w:rsidP="00C37DDE">
            <w:pPr>
              <w:rPr>
                <w:rFonts w:ascii="Garamond" w:hAnsi="Garamond" w:cs="Arial"/>
                <w:color w:val="363636"/>
                <w:sz w:val="20"/>
                <w:szCs w:val="20"/>
              </w:rPr>
            </w:pPr>
          </w:p>
        </w:tc>
      </w:tr>
      <w:tr w:rsidR="009D6786" w:rsidRPr="00474895" w:rsidTr="009D6786">
        <w:trPr>
          <w:trHeight w:val="297"/>
        </w:trPr>
        <w:tc>
          <w:tcPr>
            <w:tcW w:w="1665" w:type="dxa"/>
            <w:vAlign w:val="center"/>
          </w:tcPr>
          <w:p w:rsidR="009D6786" w:rsidRPr="00474895" w:rsidRDefault="009D6786" w:rsidP="00C37DDE">
            <w:pPr>
              <w:rPr>
                <w:rFonts w:ascii="Garamond" w:hAnsi="Garamond" w:cs="Arial"/>
                <w:color w:val="363636"/>
                <w:sz w:val="20"/>
                <w:szCs w:val="20"/>
              </w:rPr>
            </w:pPr>
          </w:p>
        </w:tc>
        <w:tc>
          <w:tcPr>
            <w:tcW w:w="1664" w:type="dxa"/>
            <w:vAlign w:val="center"/>
          </w:tcPr>
          <w:p w:rsidR="009D6786" w:rsidRPr="00474895" w:rsidRDefault="009D6786" w:rsidP="00C37DDE">
            <w:pPr>
              <w:rPr>
                <w:rFonts w:ascii="Garamond" w:hAnsi="Garamond" w:cs="Arial"/>
                <w:color w:val="363636"/>
                <w:sz w:val="20"/>
                <w:szCs w:val="20"/>
              </w:rPr>
            </w:pPr>
          </w:p>
        </w:tc>
        <w:tc>
          <w:tcPr>
            <w:tcW w:w="1664" w:type="dxa"/>
            <w:vAlign w:val="center"/>
          </w:tcPr>
          <w:p w:rsidR="009D6786" w:rsidRPr="00474895" w:rsidRDefault="009D6786" w:rsidP="00C37DDE">
            <w:pPr>
              <w:rPr>
                <w:rFonts w:ascii="Garamond" w:hAnsi="Garamond" w:cs="Arial"/>
                <w:color w:val="363636"/>
                <w:sz w:val="20"/>
                <w:szCs w:val="20"/>
              </w:rPr>
            </w:pPr>
          </w:p>
        </w:tc>
        <w:tc>
          <w:tcPr>
            <w:tcW w:w="1570" w:type="dxa"/>
            <w:vAlign w:val="center"/>
          </w:tcPr>
          <w:p w:rsidR="009D6786" w:rsidRPr="00474895" w:rsidRDefault="009D6786" w:rsidP="00C37DDE">
            <w:pPr>
              <w:rPr>
                <w:rFonts w:ascii="Garamond" w:hAnsi="Garamond" w:cs="Arial"/>
                <w:color w:val="363636"/>
                <w:sz w:val="20"/>
                <w:szCs w:val="20"/>
              </w:rPr>
            </w:pPr>
          </w:p>
        </w:tc>
        <w:tc>
          <w:tcPr>
            <w:tcW w:w="1421" w:type="dxa"/>
            <w:vAlign w:val="center"/>
          </w:tcPr>
          <w:p w:rsidR="009D6786" w:rsidRPr="00474895" w:rsidRDefault="009D6786" w:rsidP="00C37DDE">
            <w:pPr>
              <w:jc w:val="right"/>
              <w:rPr>
                <w:rFonts w:ascii="Garamond" w:hAnsi="Garamond" w:cs="Arial"/>
                <w:color w:val="363636"/>
                <w:sz w:val="20"/>
                <w:szCs w:val="20"/>
              </w:rPr>
            </w:pPr>
          </w:p>
        </w:tc>
        <w:tc>
          <w:tcPr>
            <w:tcW w:w="1556" w:type="dxa"/>
            <w:vAlign w:val="center"/>
          </w:tcPr>
          <w:p w:rsidR="009D6786" w:rsidRPr="00474895" w:rsidRDefault="009D6786" w:rsidP="00C37DDE">
            <w:pPr>
              <w:rPr>
                <w:rFonts w:ascii="Garamond" w:hAnsi="Garamond" w:cs="Arial"/>
                <w:color w:val="363636"/>
                <w:sz w:val="20"/>
                <w:szCs w:val="20"/>
              </w:rPr>
            </w:pPr>
          </w:p>
        </w:tc>
        <w:tc>
          <w:tcPr>
            <w:tcW w:w="1678" w:type="dxa"/>
            <w:vAlign w:val="center"/>
          </w:tcPr>
          <w:p w:rsidR="009D6786" w:rsidRPr="00474895" w:rsidRDefault="009D6786" w:rsidP="00C37DDE">
            <w:pPr>
              <w:rPr>
                <w:rFonts w:ascii="Garamond" w:hAnsi="Garamond" w:cs="Arial"/>
                <w:color w:val="363636"/>
                <w:sz w:val="20"/>
                <w:szCs w:val="20"/>
              </w:rPr>
            </w:pPr>
          </w:p>
        </w:tc>
        <w:tc>
          <w:tcPr>
            <w:tcW w:w="1732" w:type="dxa"/>
            <w:vAlign w:val="center"/>
          </w:tcPr>
          <w:p w:rsidR="009D6786" w:rsidRPr="00474895" w:rsidRDefault="009D6786" w:rsidP="00C37DDE">
            <w:pPr>
              <w:rPr>
                <w:rFonts w:ascii="Garamond" w:hAnsi="Garamond" w:cs="Arial"/>
                <w:color w:val="363636"/>
                <w:sz w:val="20"/>
                <w:szCs w:val="20"/>
              </w:rPr>
            </w:pPr>
          </w:p>
        </w:tc>
      </w:tr>
      <w:tr w:rsidR="009D6786" w:rsidRPr="00474895" w:rsidTr="009D6786">
        <w:trPr>
          <w:trHeight w:val="297"/>
        </w:trPr>
        <w:tc>
          <w:tcPr>
            <w:tcW w:w="1665" w:type="dxa"/>
            <w:vAlign w:val="center"/>
          </w:tcPr>
          <w:p w:rsidR="009D6786" w:rsidRPr="00474895" w:rsidRDefault="009D6786" w:rsidP="00C37DDE">
            <w:pPr>
              <w:rPr>
                <w:rFonts w:ascii="Garamond" w:hAnsi="Garamond" w:cs="Arial"/>
                <w:color w:val="363636"/>
                <w:sz w:val="20"/>
                <w:szCs w:val="20"/>
              </w:rPr>
            </w:pPr>
          </w:p>
        </w:tc>
        <w:tc>
          <w:tcPr>
            <w:tcW w:w="1664" w:type="dxa"/>
            <w:vAlign w:val="center"/>
          </w:tcPr>
          <w:p w:rsidR="009D6786" w:rsidRPr="00474895" w:rsidRDefault="009D6786" w:rsidP="00C37DDE">
            <w:pPr>
              <w:rPr>
                <w:rFonts w:ascii="Garamond" w:hAnsi="Garamond" w:cs="Arial"/>
                <w:color w:val="363636"/>
                <w:sz w:val="20"/>
                <w:szCs w:val="20"/>
              </w:rPr>
            </w:pPr>
          </w:p>
        </w:tc>
        <w:tc>
          <w:tcPr>
            <w:tcW w:w="1664" w:type="dxa"/>
            <w:vAlign w:val="center"/>
          </w:tcPr>
          <w:p w:rsidR="009D6786" w:rsidRPr="00474895" w:rsidRDefault="009D6786" w:rsidP="00C37DDE">
            <w:pPr>
              <w:rPr>
                <w:rFonts w:ascii="Garamond" w:hAnsi="Garamond" w:cs="Arial"/>
                <w:color w:val="363636"/>
                <w:sz w:val="20"/>
                <w:szCs w:val="20"/>
              </w:rPr>
            </w:pPr>
          </w:p>
        </w:tc>
        <w:tc>
          <w:tcPr>
            <w:tcW w:w="1570" w:type="dxa"/>
            <w:vAlign w:val="center"/>
          </w:tcPr>
          <w:p w:rsidR="009D6786" w:rsidRPr="00474895" w:rsidRDefault="009D6786" w:rsidP="00C37DDE">
            <w:pPr>
              <w:rPr>
                <w:rFonts w:ascii="Garamond" w:hAnsi="Garamond" w:cs="Arial"/>
                <w:color w:val="363636"/>
                <w:sz w:val="20"/>
                <w:szCs w:val="20"/>
              </w:rPr>
            </w:pPr>
          </w:p>
        </w:tc>
        <w:tc>
          <w:tcPr>
            <w:tcW w:w="1421" w:type="dxa"/>
            <w:vAlign w:val="center"/>
          </w:tcPr>
          <w:p w:rsidR="009D6786" w:rsidRPr="00474895" w:rsidRDefault="009D6786" w:rsidP="00C37DDE">
            <w:pPr>
              <w:jc w:val="right"/>
              <w:rPr>
                <w:rFonts w:ascii="Garamond" w:hAnsi="Garamond" w:cs="Arial"/>
                <w:color w:val="363636"/>
                <w:sz w:val="20"/>
                <w:szCs w:val="20"/>
              </w:rPr>
            </w:pPr>
          </w:p>
        </w:tc>
        <w:tc>
          <w:tcPr>
            <w:tcW w:w="1556" w:type="dxa"/>
            <w:vAlign w:val="center"/>
          </w:tcPr>
          <w:p w:rsidR="009D6786" w:rsidRPr="00474895" w:rsidRDefault="009D6786" w:rsidP="00C37DDE">
            <w:pPr>
              <w:rPr>
                <w:rFonts w:ascii="Garamond" w:hAnsi="Garamond" w:cs="Arial"/>
                <w:color w:val="363636"/>
                <w:sz w:val="20"/>
                <w:szCs w:val="20"/>
              </w:rPr>
            </w:pPr>
          </w:p>
        </w:tc>
        <w:tc>
          <w:tcPr>
            <w:tcW w:w="1678" w:type="dxa"/>
            <w:vAlign w:val="center"/>
          </w:tcPr>
          <w:p w:rsidR="009D6786" w:rsidRPr="00474895" w:rsidRDefault="009D6786" w:rsidP="00C37DDE">
            <w:pPr>
              <w:rPr>
                <w:rFonts w:ascii="Garamond" w:hAnsi="Garamond" w:cs="Arial"/>
                <w:color w:val="363636"/>
                <w:sz w:val="20"/>
                <w:szCs w:val="20"/>
              </w:rPr>
            </w:pPr>
          </w:p>
        </w:tc>
        <w:tc>
          <w:tcPr>
            <w:tcW w:w="1732" w:type="dxa"/>
            <w:vAlign w:val="center"/>
          </w:tcPr>
          <w:p w:rsidR="009D6786" w:rsidRPr="00474895" w:rsidRDefault="009D6786" w:rsidP="00C37DDE">
            <w:pPr>
              <w:rPr>
                <w:rFonts w:ascii="Garamond" w:hAnsi="Garamond" w:cs="Arial"/>
                <w:color w:val="363636"/>
                <w:sz w:val="20"/>
                <w:szCs w:val="20"/>
              </w:rPr>
            </w:pPr>
          </w:p>
        </w:tc>
      </w:tr>
      <w:tr w:rsidR="009D6786" w:rsidRPr="00474895" w:rsidTr="009D6786">
        <w:trPr>
          <w:trHeight w:val="297"/>
        </w:trPr>
        <w:tc>
          <w:tcPr>
            <w:tcW w:w="1665" w:type="dxa"/>
            <w:vAlign w:val="center"/>
          </w:tcPr>
          <w:p w:rsidR="009D6786" w:rsidRPr="00474895" w:rsidRDefault="009D6786" w:rsidP="00C37DDE">
            <w:pPr>
              <w:rPr>
                <w:rFonts w:ascii="Garamond" w:hAnsi="Garamond" w:cs="Arial"/>
                <w:color w:val="363636"/>
                <w:sz w:val="20"/>
                <w:szCs w:val="20"/>
              </w:rPr>
            </w:pPr>
          </w:p>
        </w:tc>
        <w:tc>
          <w:tcPr>
            <w:tcW w:w="1664" w:type="dxa"/>
            <w:vAlign w:val="center"/>
          </w:tcPr>
          <w:p w:rsidR="009D6786" w:rsidRPr="00474895" w:rsidRDefault="009D6786" w:rsidP="00C37DDE">
            <w:pPr>
              <w:rPr>
                <w:rFonts w:ascii="Garamond" w:hAnsi="Garamond" w:cs="Arial"/>
                <w:color w:val="363636"/>
                <w:sz w:val="20"/>
                <w:szCs w:val="20"/>
              </w:rPr>
            </w:pPr>
          </w:p>
        </w:tc>
        <w:tc>
          <w:tcPr>
            <w:tcW w:w="1664" w:type="dxa"/>
            <w:vAlign w:val="center"/>
          </w:tcPr>
          <w:p w:rsidR="009D6786" w:rsidRPr="00474895" w:rsidRDefault="009D6786" w:rsidP="00C37DDE">
            <w:pPr>
              <w:rPr>
                <w:rFonts w:ascii="Garamond" w:hAnsi="Garamond" w:cs="Arial"/>
                <w:color w:val="363636"/>
                <w:sz w:val="20"/>
                <w:szCs w:val="20"/>
              </w:rPr>
            </w:pPr>
          </w:p>
        </w:tc>
        <w:tc>
          <w:tcPr>
            <w:tcW w:w="1570" w:type="dxa"/>
            <w:vAlign w:val="center"/>
          </w:tcPr>
          <w:p w:rsidR="009D6786" w:rsidRPr="00474895" w:rsidRDefault="009D6786" w:rsidP="00C37DDE">
            <w:pPr>
              <w:rPr>
                <w:rFonts w:ascii="Garamond" w:hAnsi="Garamond" w:cs="Arial"/>
                <w:color w:val="363636"/>
                <w:sz w:val="20"/>
                <w:szCs w:val="20"/>
              </w:rPr>
            </w:pPr>
          </w:p>
        </w:tc>
        <w:tc>
          <w:tcPr>
            <w:tcW w:w="1421" w:type="dxa"/>
            <w:vAlign w:val="center"/>
          </w:tcPr>
          <w:p w:rsidR="009D6786" w:rsidRPr="00474895" w:rsidRDefault="009D6786" w:rsidP="00C37DDE">
            <w:pPr>
              <w:jc w:val="right"/>
              <w:rPr>
                <w:rFonts w:ascii="Garamond" w:hAnsi="Garamond" w:cs="Arial"/>
                <w:color w:val="363636"/>
                <w:sz w:val="20"/>
                <w:szCs w:val="20"/>
              </w:rPr>
            </w:pPr>
          </w:p>
        </w:tc>
        <w:tc>
          <w:tcPr>
            <w:tcW w:w="1556" w:type="dxa"/>
            <w:vAlign w:val="center"/>
          </w:tcPr>
          <w:p w:rsidR="009D6786" w:rsidRPr="00474895" w:rsidRDefault="009D6786" w:rsidP="00C37DDE">
            <w:pPr>
              <w:rPr>
                <w:rFonts w:ascii="Garamond" w:hAnsi="Garamond" w:cs="Arial"/>
                <w:color w:val="363636"/>
                <w:sz w:val="20"/>
                <w:szCs w:val="20"/>
              </w:rPr>
            </w:pPr>
          </w:p>
        </w:tc>
        <w:tc>
          <w:tcPr>
            <w:tcW w:w="1678" w:type="dxa"/>
            <w:vAlign w:val="center"/>
          </w:tcPr>
          <w:p w:rsidR="009D6786" w:rsidRPr="00474895" w:rsidRDefault="009D6786" w:rsidP="00C37DDE">
            <w:pPr>
              <w:rPr>
                <w:rFonts w:ascii="Garamond" w:hAnsi="Garamond" w:cs="Arial"/>
                <w:color w:val="363636"/>
                <w:sz w:val="20"/>
                <w:szCs w:val="20"/>
              </w:rPr>
            </w:pPr>
          </w:p>
        </w:tc>
        <w:tc>
          <w:tcPr>
            <w:tcW w:w="1732" w:type="dxa"/>
            <w:vAlign w:val="center"/>
          </w:tcPr>
          <w:p w:rsidR="009D6786" w:rsidRPr="00474895" w:rsidRDefault="009D6786" w:rsidP="00C37DDE">
            <w:pPr>
              <w:rPr>
                <w:rFonts w:ascii="Garamond" w:hAnsi="Garamond" w:cs="Arial"/>
                <w:color w:val="363636"/>
                <w:sz w:val="20"/>
                <w:szCs w:val="20"/>
              </w:rPr>
            </w:pPr>
          </w:p>
        </w:tc>
      </w:tr>
    </w:tbl>
    <w:p w:rsidR="00A22159" w:rsidRPr="00474895" w:rsidRDefault="00A22159">
      <w:pPr>
        <w:rPr>
          <w:rFonts w:ascii="Garamond" w:hAnsi="Garamond"/>
          <w:sz w:val="20"/>
          <w:szCs w:val="20"/>
        </w:rPr>
      </w:pPr>
    </w:p>
    <w:p w:rsidR="00C37DDE" w:rsidRPr="00474895" w:rsidRDefault="00C37DDE">
      <w:pPr>
        <w:rPr>
          <w:rFonts w:ascii="Garamond" w:hAnsi="Garamond"/>
          <w:sz w:val="20"/>
          <w:szCs w:val="20"/>
        </w:rPr>
      </w:pPr>
    </w:p>
    <w:p w:rsidR="00C37DDE" w:rsidRPr="00474895" w:rsidRDefault="00C37DDE">
      <w:pPr>
        <w:rPr>
          <w:rFonts w:ascii="Garamond" w:hAnsi="Garamond"/>
          <w:sz w:val="20"/>
          <w:szCs w:val="20"/>
        </w:rPr>
      </w:pPr>
    </w:p>
    <w:p w:rsidR="00C37DDE" w:rsidRPr="00474895" w:rsidRDefault="00C37DDE">
      <w:pPr>
        <w:rPr>
          <w:rFonts w:ascii="Garamond" w:hAnsi="Garamond"/>
          <w:sz w:val="20"/>
          <w:szCs w:val="20"/>
        </w:rPr>
      </w:pPr>
    </w:p>
    <w:p w:rsidR="00C37DDE" w:rsidRPr="00474895" w:rsidRDefault="00C37DDE">
      <w:pPr>
        <w:rPr>
          <w:rFonts w:ascii="Garamond" w:hAnsi="Garamond"/>
          <w:sz w:val="20"/>
          <w:szCs w:val="20"/>
        </w:rPr>
      </w:pPr>
    </w:p>
    <w:p w:rsidR="00C37DDE" w:rsidRPr="00474895" w:rsidRDefault="00C37DDE">
      <w:pPr>
        <w:rPr>
          <w:rFonts w:ascii="Garamond" w:hAnsi="Garamond"/>
          <w:sz w:val="20"/>
          <w:szCs w:val="20"/>
        </w:rPr>
      </w:pPr>
    </w:p>
    <w:p w:rsidR="00C37DDE" w:rsidRPr="00474895" w:rsidRDefault="00C37DDE">
      <w:pPr>
        <w:rPr>
          <w:rFonts w:ascii="Garamond" w:hAnsi="Garamond"/>
          <w:sz w:val="20"/>
          <w:szCs w:val="20"/>
        </w:rPr>
      </w:pPr>
    </w:p>
    <w:p w:rsidR="00C37DDE" w:rsidRPr="00474895" w:rsidRDefault="00C37DDE">
      <w:pPr>
        <w:rPr>
          <w:rFonts w:ascii="Garamond" w:hAnsi="Garamond"/>
          <w:sz w:val="20"/>
          <w:szCs w:val="20"/>
        </w:rPr>
      </w:pPr>
    </w:p>
    <w:p w:rsidR="00C37DDE" w:rsidRPr="00474895" w:rsidRDefault="00C37DDE">
      <w:pPr>
        <w:rPr>
          <w:rFonts w:ascii="Garamond" w:hAnsi="Garamond"/>
          <w:sz w:val="20"/>
          <w:szCs w:val="20"/>
        </w:rPr>
      </w:pPr>
    </w:p>
    <w:p w:rsidR="00C37DDE" w:rsidRPr="00474895" w:rsidRDefault="00C37DDE">
      <w:pPr>
        <w:rPr>
          <w:rFonts w:ascii="Garamond" w:hAnsi="Garamond"/>
          <w:sz w:val="20"/>
          <w:szCs w:val="20"/>
        </w:rPr>
      </w:pPr>
    </w:p>
    <w:p w:rsidR="00C37DDE" w:rsidRPr="00474895" w:rsidRDefault="00C37DDE">
      <w:pPr>
        <w:rPr>
          <w:rFonts w:ascii="Garamond" w:hAnsi="Garamond"/>
          <w:sz w:val="20"/>
          <w:szCs w:val="20"/>
        </w:rPr>
      </w:pPr>
    </w:p>
    <w:tbl>
      <w:tblPr>
        <w:tblStyle w:val="TableGrid"/>
        <w:tblW w:w="0" w:type="auto"/>
        <w:tblLook w:val="04A0" w:firstRow="1" w:lastRow="0" w:firstColumn="1" w:lastColumn="0" w:noHBand="0" w:noVBand="1"/>
      </w:tblPr>
      <w:tblGrid>
        <w:gridCol w:w="1656"/>
        <w:gridCol w:w="1655"/>
        <w:gridCol w:w="1656"/>
        <w:gridCol w:w="1562"/>
        <w:gridCol w:w="1160"/>
        <w:gridCol w:w="1629"/>
        <w:gridCol w:w="1910"/>
        <w:gridCol w:w="1722"/>
      </w:tblGrid>
      <w:tr w:rsidR="00A0710E" w:rsidRPr="00474895" w:rsidTr="0089188F">
        <w:trPr>
          <w:trHeight w:val="297"/>
        </w:trPr>
        <w:tc>
          <w:tcPr>
            <w:tcW w:w="12950" w:type="dxa"/>
            <w:gridSpan w:val="8"/>
          </w:tcPr>
          <w:p w:rsidR="00A0710E" w:rsidRPr="00474895" w:rsidRDefault="009D6786" w:rsidP="0089188F">
            <w:pPr>
              <w:jc w:val="center"/>
              <w:rPr>
                <w:rFonts w:ascii="Garamond" w:hAnsi="Garamond" w:cs="Times New Roman (Body CS)"/>
                <w:b/>
                <w:caps/>
                <w:sz w:val="20"/>
                <w:szCs w:val="20"/>
              </w:rPr>
            </w:pPr>
            <w:r w:rsidRPr="00474895">
              <w:rPr>
                <w:rFonts w:ascii="Garamond" w:hAnsi="Garamond" w:cs="Times New Roman (Body CS)"/>
                <w:b/>
                <w:caps/>
                <w:sz w:val="20"/>
                <w:szCs w:val="20"/>
              </w:rPr>
              <w:t>Degree FIT</w:t>
            </w:r>
          </w:p>
        </w:tc>
      </w:tr>
      <w:tr w:rsidR="00A0710E" w:rsidRPr="00474895" w:rsidTr="009D6786">
        <w:trPr>
          <w:trHeight w:val="236"/>
        </w:trPr>
        <w:tc>
          <w:tcPr>
            <w:tcW w:w="1664" w:type="dxa"/>
            <w:vAlign w:val="center"/>
          </w:tcPr>
          <w:p w:rsidR="00A0710E" w:rsidRPr="00474895" w:rsidRDefault="00A0710E" w:rsidP="0089188F">
            <w:pPr>
              <w:jc w:val="center"/>
              <w:rPr>
                <w:rFonts w:ascii="Garamond" w:hAnsi="Garamond" w:cs="Arial"/>
                <w:b/>
                <w:bCs/>
                <w:color w:val="363636"/>
                <w:sz w:val="20"/>
                <w:szCs w:val="20"/>
              </w:rPr>
            </w:pPr>
            <w:r w:rsidRPr="00474895">
              <w:rPr>
                <w:rFonts w:ascii="Garamond" w:hAnsi="Garamond" w:cs="Arial"/>
                <w:b/>
                <w:bCs/>
                <w:color w:val="363636"/>
                <w:sz w:val="20"/>
                <w:szCs w:val="20"/>
              </w:rPr>
              <w:t>Category</w:t>
            </w:r>
          </w:p>
        </w:tc>
        <w:tc>
          <w:tcPr>
            <w:tcW w:w="1664" w:type="dxa"/>
            <w:vAlign w:val="center"/>
          </w:tcPr>
          <w:p w:rsidR="00A0710E" w:rsidRPr="00474895" w:rsidRDefault="00A0710E" w:rsidP="0089188F">
            <w:pPr>
              <w:jc w:val="center"/>
              <w:rPr>
                <w:rFonts w:ascii="Garamond" w:hAnsi="Garamond" w:cs="Arial"/>
                <w:b/>
                <w:bCs/>
                <w:color w:val="363636"/>
                <w:sz w:val="20"/>
                <w:szCs w:val="20"/>
              </w:rPr>
            </w:pPr>
            <w:r w:rsidRPr="00474895">
              <w:rPr>
                <w:rFonts w:ascii="Garamond" w:hAnsi="Garamond" w:cs="Arial"/>
                <w:b/>
                <w:bCs/>
                <w:color w:val="363636"/>
                <w:sz w:val="20"/>
                <w:szCs w:val="20"/>
              </w:rPr>
              <w:t>Criteria</w:t>
            </w:r>
          </w:p>
        </w:tc>
        <w:tc>
          <w:tcPr>
            <w:tcW w:w="1665" w:type="dxa"/>
            <w:vAlign w:val="center"/>
          </w:tcPr>
          <w:p w:rsidR="00A0710E" w:rsidRPr="00474895" w:rsidRDefault="00A0710E" w:rsidP="0089188F">
            <w:pPr>
              <w:jc w:val="center"/>
              <w:rPr>
                <w:rFonts w:ascii="Garamond" w:hAnsi="Garamond" w:cs="Arial"/>
                <w:b/>
                <w:bCs/>
                <w:color w:val="363636"/>
                <w:sz w:val="20"/>
                <w:szCs w:val="20"/>
              </w:rPr>
            </w:pPr>
            <w:r w:rsidRPr="00474895">
              <w:rPr>
                <w:rFonts w:ascii="Garamond" w:hAnsi="Garamond" w:cs="Arial"/>
                <w:b/>
                <w:bCs/>
                <w:color w:val="363636"/>
                <w:sz w:val="20"/>
                <w:szCs w:val="20"/>
              </w:rPr>
              <w:t>Definition</w:t>
            </w:r>
          </w:p>
        </w:tc>
        <w:tc>
          <w:tcPr>
            <w:tcW w:w="1570" w:type="dxa"/>
            <w:vAlign w:val="center"/>
          </w:tcPr>
          <w:p w:rsidR="00A0710E" w:rsidRPr="00474895" w:rsidRDefault="00A0710E" w:rsidP="0089188F">
            <w:pPr>
              <w:jc w:val="center"/>
              <w:rPr>
                <w:rFonts w:ascii="Garamond" w:hAnsi="Garamond" w:cs="Arial"/>
                <w:b/>
                <w:bCs/>
                <w:color w:val="363636"/>
                <w:sz w:val="20"/>
                <w:szCs w:val="20"/>
              </w:rPr>
            </w:pPr>
            <w:r w:rsidRPr="00474895">
              <w:rPr>
                <w:rFonts w:ascii="Garamond" w:hAnsi="Garamond" w:cs="Arial"/>
                <w:b/>
                <w:bCs/>
                <w:color w:val="363636"/>
                <w:sz w:val="20"/>
                <w:szCs w:val="20"/>
              </w:rPr>
              <w:t>Metric</w:t>
            </w:r>
          </w:p>
        </w:tc>
        <w:tc>
          <w:tcPr>
            <w:tcW w:w="1096" w:type="dxa"/>
            <w:vAlign w:val="center"/>
          </w:tcPr>
          <w:p w:rsidR="00A0710E" w:rsidRPr="00474895" w:rsidRDefault="00A0710E" w:rsidP="0089188F">
            <w:pPr>
              <w:jc w:val="center"/>
              <w:rPr>
                <w:rFonts w:ascii="Garamond" w:hAnsi="Garamond" w:cs="Arial"/>
                <w:b/>
                <w:bCs/>
                <w:color w:val="363636"/>
                <w:sz w:val="20"/>
                <w:szCs w:val="20"/>
              </w:rPr>
            </w:pPr>
            <w:r w:rsidRPr="00474895">
              <w:rPr>
                <w:rFonts w:ascii="Garamond" w:hAnsi="Garamond" w:cs="Arial"/>
                <w:b/>
                <w:bCs/>
                <w:color w:val="363636"/>
                <w:sz w:val="20"/>
                <w:szCs w:val="20"/>
              </w:rPr>
              <w:t>Timeframe</w:t>
            </w:r>
          </w:p>
        </w:tc>
        <w:tc>
          <w:tcPr>
            <w:tcW w:w="1638" w:type="dxa"/>
            <w:vAlign w:val="center"/>
          </w:tcPr>
          <w:p w:rsidR="00A0710E" w:rsidRPr="00474895" w:rsidRDefault="00A0710E" w:rsidP="0089188F">
            <w:pPr>
              <w:jc w:val="center"/>
              <w:rPr>
                <w:rFonts w:ascii="Garamond" w:hAnsi="Garamond" w:cs="Arial"/>
                <w:b/>
                <w:bCs/>
                <w:color w:val="363636"/>
                <w:sz w:val="20"/>
                <w:szCs w:val="20"/>
              </w:rPr>
            </w:pPr>
            <w:r w:rsidRPr="00474895">
              <w:rPr>
                <w:rFonts w:ascii="Garamond" w:hAnsi="Garamond" w:cs="Arial"/>
                <w:b/>
                <w:bCs/>
                <w:color w:val="363636"/>
                <w:sz w:val="20"/>
                <w:szCs w:val="20"/>
              </w:rPr>
              <w:t>Purpose</w:t>
            </w:r>
          </w:p>
        </w:tc>
        <w:tc>
          <w:tcPr>
            <w:tcW w:w="1921" w:type="dxa"/>
            <w:vAlign w:val="center"/>
          </w:tcPr>
          <w:p w:rsidR="00A0710E" w:rsidRPr="00474895" w:rsidRDefault="00A0710E" w:rsidP="0089188F">
            <w:pPr>
              <w:jc w:val="center"/>
              <w:rPr>
                <w:rFonts w:ascii="Garamond" w:hAnsi="Garamond" w:cs="Arial"/>
                <w:b/>
                <w:bCs/>
                <w:color w:val="363636"/>
                <w:sz w:val="20"/>
                <w:szCs w:val="20"/>
              </w:rPr>
            </w:pPr>
            <w:r w:rsidRPr="00474895">
              <w:rPr>
                <w:rFonts w:ascii="Garamond" w:hAnsi="Garamond" w:cs="Arial"/>
                <w:b/>
                <w:bCs/>
                <w:color w:val="363636"/>
                <w:sz w:val="20"/>
                <w:szCs w:val="20"/>
              </w:rPr>
              <w:t>Use &amp; Applicability</w:t>
            </w:r>
          </w:p>
        </w:tc>
        <w:tc>
          <w:tcPr>
            <w:tcW w:w="1732" w:type="dxa"/>
            <w:vAlign w:val="center"/>
          </w:tcPr>
          <w:p w:rsidR="00A0710E" w:rsidRPr="00474895" w:rsidRDefault="00A0710E" w:rsidP="0089188F">
            <w:pPr>
              <w:jc w:val="center"/>
              <w:rPr>
                <w:rFonts w:ascii="Garamond" w:hAnsi="Garamond" w:cs="Arial"/>
                <w:b/>
                <w:bCs/>
                <w:color w:val="363636"/>
                <w:sz w:val="20"/>
                <w:szCs w:val="20"/>
              </w:rPr>
            </w:pPr>
            <w:r w:rsidRPr="00474895">
              <w:rPr>
                <w:rFonts w:ascii="Garamond" w:hAnsi="Garamond" w:cs="Arial"/>
                <w:b/>
                <w:bCs/>
                <w:color w:val="363636"/>
                <w:sz w:val="20"/>
                <w:szCs w:val="20"/>
              </w:rPr>
              <w:t>Source</w:t>
            </w:r>
          </w:p>
        </w:tc>
      </w:tr>
      <w:tr w:rsidR="00474895" w:rsidRPr="00474895" w:rsidTr="009D6786">
        <w:trPr>
          <w:trHeight w:val="2360"/>
        </w:trPr>
        <w:tc>
          <w:tcPr>
            <w:tcW w:w="1664"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Degree Fit</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Student Inquiries by Award Level</w:t>
            </w:r>
          </w:p>
        </w:tc>
        <w:tc>
          <w:tcPr>
            <w:tcW w:w="1665"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Total volume of inquiries for online programs over the past year</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Total Online Inquiries by Award Level</w:t>
            </w:r>
          </w:p>
        </w:tc>
        <w:tc>
          <w:tcPr>
            <w:tcW w:w="1096"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Q4 2017 - Q3 2018</w:t>
            </w:r>
          </w:p>
        </w:tc>
        <w:tc>
          <w:tcPr>
            <w:tcW w:w="163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Size online demand by program</w:t>
            </w:r>
          </w:p>
        </w:tc>
        <w:tc>
          <w:tcPr>
            <w:tcW w:w="19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Current indicator. Strong for vocational and other types of programs commonly offered online or by for-profit institutions. Changes may reflect institutional marketing efforts as well as underlying student demand.</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GrayReports Inquiry Database</w:t>
            </w:r>
          </w:p>
        </w:tc>
      </w:tr>
      <w:tr w:rsidR="00474895" w:rsidRPr="00474895" w:rsidTr="009D6786">
        <w:trPr>
          <w:trHeight w:val="297"/>
        </w:trPr>
        <w:tc>
          <w:tcPr>
            <w:tcW w:w="1664"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Student Demand</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Completions</w:t>
            </w:r>
          </w:p>
        </w:tc>
        <w:tc>
          <w:tcPr>
            <w:tcW w:w="1665"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Number of annual conferred degrees from IPEDS</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Total Completions</w:t>
            </w:r>
          </w:p>
        </w:tc>
        <w:tc>
          <w:tcPr>
            <w:tcW w:w="1096" w:type="dxa"/>
            <w:vAlign w:val="center"/>
          </w:tcPr>
          <w:p w:rsidR="009D6786" w:rsidRPr="00474895" w:rsidRDefault="009D6786" w:rsidP="009D6786">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63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Confirm program and market size</w:t>
            </w:r>
          </w:p>
        </w:tc>
        <w:tc>
          <w:tcPr>
            <w:tcW w:w="19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Comprehensive for Title IV programs. Lagging indicator.</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Completions from IPEDS with enhanced coding.</w:t>
            </w:r>
          </w:p>
        </w:tc>
      </w:tr>
      <w:tr w:rsidR="00474895" w:rsidRPr="00474895" w:rsidTr="009D6786">
        <w:trPr>
          <w:trHeight w:val="297"/>
        </w:trPr>
        <w:tc>
          <w:tcPr>
            <w:tcW w:w="1664"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Employment Opportunities</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Burning Glass Technologies</w:t>
            </w:r>
          </w:p>
        </w:tc>
        <w:tc>
          <w:tcPr>
            <w:tcW w:w="1665"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Total number of new job postings in occupations directly related to the program found online over the past year by Burning Glass Technologies with an education requirement listed over the past year</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JP w/ EDU</w:t>
            </w:r>
          </w:p>
        </w:tc>
        <w:tc>
          <w:tcPr>
            <w:tcW w:w="1096"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Q3 2017 - Q2 2018</w:t>
            </w:r>
          </w:p>
        </w:tc>
        <w:tc>
          <w:tcPr>
            <w:tcW w:w="163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Size-up the employment opportunity for graduates</w:t>
            </w:r>
          </w:p>
        </w:tc>
        <w:tc>
          <w:tcPr>
            <w:tcW w:w="19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Job postings are the most current information available on employment opportunities. All employment and job openings data is sensitive to how occupation-level data is matched to academic programs.</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New Job Postings and New Job Postings Growth from Burning Glass Technologies, mapped from SOC to CIP by Gray.</w:t>
            </w:r>
          </w:p>
        </w:tc>
      </w:tr>
      <w:tr w:rsidR="00474895" w:rsidRPr="00474895" w:rsidTr="009D6786">
        <w:trPr>
          <w:trHeight w:val="297"/>
        </w:trPr>
        <w:tc>
          <w:tcPr>
            <w:tcW w:w="1664"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Degree Fit</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Educational Attainment</w:t>
            </w:r>
          </w:p>
        </w:tc>
        <w:tc>
          <w:tcPr>
            <w:tcW w:w="1665"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Percentage of people employed in the field that currently hold each education credential as their highest attainment.</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National Percent of Workforce</w:t>
            </w:r>
          </w:p>
        </w:tc>
        <w:tc>
          <w:tcPr>
            <w:tcW w:w="1096" w:type="dxa"/>
            <w:vAlign w:val="center"/>
          </w:tcPr>
          <w:p w:rsidR="009D6786" w:rsidRPr="00474895" w:rsidRDefault="009D6786" w:rsidP="009D6786">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63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Match award level with job requirements</w:t>
            </w:r>
          </w:p>
        </w:tc>
        <w:tc>
          <w:tcPr>
            <w:tcW w:w="19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Helps assess whether the program will be the appropriate level of preparation for the intended jobs.</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Degree Level is from BLS analysis of the Public Use Micro Sample of the American Community Survey.</w:t>
            </w:r>
          </w:p>
        </w:tc>
      </w:tr>
      <w:tr w:rsidR="009D6786" w:rsidRPr="00474895" w:rsidTr="009D6786">
        <w:trPr>
          <w:trHeight w:val="297"/>
        </w:trPr>
        <w:tc>
          <w:tcPr>
            <w:tcW w:w="1664" w:type="dxa"/>
            <w:vAlign w:val="center"/>
          </w:tcPr>
          <w:p w:rsidR="009D6786" w:rsidRPr="00474895" w:rsidRDefault="009D6786" w:rsidP="009D6786">
            <w:pPr>
              <w:rPr>
                <w:rFonts w:ascii="Garamond" w:eastAsia="Times New Roman" w:hAnsi="Garamond" w:cs="Arial"/>
                <w:color w:val="363636"/>
                <w:sz w:val="20"/>
                <w:szCs w:val="20"/>
              </w:rPr>
            </w:pPr>
            <w:r w:rsidRPr="00474895">
              <w:rPr>
                <w:rFonts w:ascii="Garamond" w:hAnsi="Garamond" w:cs="Arial"/>
                <w:color w:val="363636"/>
                <w:sz w:val="20"/>
                <w:szCs w:val="20"/>
              </w:rPr>
              <w:t>Degree Fit</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NHEBI (National)</w:t>
            </w:r>
          </w:p>
        </w:tc>
        <w:tc>
          <w:tcPr>
            <w:tcW w:w="1665"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The cost of faculty for a program, indexed to the average. An average program has a value of 1.</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Cost Index</w:t>
            </w:r>
          </w:p>
        </w:tc>
        <w:tc>
          <w:tcPr>
            <w:tcW w:w="1096"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w:t>
            </w:r>
          </w:p>
        </w:tc>
        <w:tc>
          <w:tcPr>
            <w:tcW w:w="163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Reveal the cost of teaching a program relative to every other program. A number greater than 1 indicated the program cost more to offer relative to the average.</w:t>
            </w:r>
          </w:p>
        </w:tc>
        <w:tc>
          <w:tcPr>
            <w:tcW w:w="19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Helps assess whether the program costs more or less than average to teach. Data is from Community College (Associate’s and below).</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Cost and Student to Faculty Ratio Indexes are from NHEBI.</w:t>
            </w:r>
          </w:p>
        </w:tc>
      </w:tr>
      <w:tr w:rsidR="00474895" w:rsidRPr="00474895" w:rsidTr="009D6786">
        <w:trPr>
          <w:trHeight w:val="297"/>
        </w:trPr>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Degree Fit</w:t>
            </w:r>
          </w:p>
        </w:tc>
        <w:tc>
          <w:tcPr>
            <w:tcW w:w="1664"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NHEBI (National)</w:t>
            </w:r>
          </w:p>
        </w:tc>
        <w:tc>
          <w:tcPr>
            <w:tcW w:w="1665"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The student to faculty ratio, indexed to the average.  An average program has a value of 1.</w:t>
            </w:r>
          </w:p>
        </w:tc>
        <w:tc>
          <w:tcPr>
            <w:tcW w:w="1570"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Stu:Faculty Ratio Index</w:t>
            </w:r>
          </w:p>
        </w:tc>
        <w:tc>
          <w:tcPr>
            <w:tcW w:w="1096"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NA</w:t>
            </w:r>
          </w:p>
        </w:tc>
        <w:tc>
          <w:tcPr>
            <w:tcW w:w="1638"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Determin whether of not a lot of faculty will be needed to offer the program. A number greater than 1 indicates more students per faculty relative to the average.</w:t>
            </w:r>
          </w:p>
        </w:tc>
        <w:tc>
          <w:tcPr>
            <w:tcW w:w="1921"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Helps assess whether the program will need more faculty than the average program. Data is from Community College (Associate’s and below).</w:t>
            </w:r>
          </w:p>
        </w:tc>
        <w:tc>
          <w:tcPr>
            <w:tcW w:w="1732" w:type="dxa"/>
            <w:vAlign w:val="center"/>
          </w:tcPr>
          <w:p w:rsidR="009D6786" w:rsidRPr="00474895" w:rsidRDefault="009D6786" w:rsidP="009D6786">
            <w:pPr>
              <w:rPr>
                <w:rFonts w:ascii="Garamond" w:hAnsi="Garamond" w:cs="Arial"/>
                <w:color w:val="363636"/>
                <w:sz w:val="20"/>
                <w:szCs w:val="20"/>
              </w:rPr>
            </w:pPr>
            <w:r w:rsidRPr="00474895">
              <w:rPr>
                <w:rFonts w:ascii="Garamond" w:hAnsi="Garamond" w:cs="Arial"/>
                <w:color w:val="363636"/>
                <w:sz w:val="20"/>
                <w:szCs w:val="20"/>
              </w:rPr>
              <w:t>Cost and Student to Faculty Ratio Indexes are from NHEBI.</w:t>
            </w:r>
          </w:p>
        </w:tc>
      </w:tr>
      <w:tr w:rsidR="00A0710E" w:rsidRPr="00474895" w:rsidTr="009D6786">
        <w:trPr>
          <w:trHeight w:val="297"/>
        </w:trPr>
        <w:tc>
          <w:tcPr>
            <w:tcW w:w="1664" w:type="dxa"/>
            <w:vAlign w:val="center"/>
          </w:tcPr>
          <w:p w:rsidR="00A0710E" w:rsidRPr="00474895" w:rsidRDefault="00A0710E" w:rsidP="0089188F">
            <w:pPr>
              <w:rPr>
                <w:rFonts w:ascii="Garamond" w:eastAsia="Times New Roman" w:hAnsi="Garamond" w:cs="Arial"/>
                <w:color w:val="363636"/>
                <w:sz w:val="20"/>
                <w:szCs w:val="20"/>
              </w:rPr>
            </w:pPr>
          </w:p>
        </w:tc>
        <w:tc>
          <w:tcPr>
            <w:tcW w:w="1664" w:type="dxa"/>
            <w:vAlign w:val="center"/>
          </w:tcPr>
          <w:p w:rsidR="00A0710E" w:rsidRPr="00474895" w:rsidRDefault="00A0710E" w:rsidP="0089188F">
            <w:pPr>
              <w:rPr>
                <w:rFonts w:ascii="Garamond" w:hAnsi="Garamond" w:cs="Arial"/>
                <w:color w:val="363636"/>
                <w:sz w:val="20"/>
                <w:szCs w:val="20"/>
              </w:rPr>
            </w:pPr>
          </w:p>
        </w:tc>
        <w:tc>
          <w:tcPr>
            <w:tcW w:w="1665" w:type="dxa"/>
            <w:vAlign w:val="center"/>
          </w:tcPr>
          <w:p w:rsidR="00A0710E" w:rsidRPr="00474895" w:rsidRDefault="00A0710E" w:rsidP="0089188F">
            <w:pPr>
              <w:rPr>
                <w:rFonts w:ascii="Garamond" w:hAnsi="Garamond" w:cs="Arial"/>
                <w:color w:val="363636"/>
                <w:sz w:val="20"/>
                <w:szCs w:val="20"/>
              </w:rPr>
            </w:pPr>
          </w:p>
        </w:tc>
        <w:tc>
          <w:tcPr>
            <w:tcW w:w="1570" w:type="dxa"/>
            <w:vAlign w:val="center"/>
          </w:tcPr>
          <w:p w:rsidR="00A0710E" w:rsidRPr="00474895" w:rsidRDefault="00A0710E" w:rsidP="0089188F">
            <w:pPr>
              <w:rPr>
                <w:rFonts w:ascii="Garamond" w:hAnsi="Garamond" w:cs="Arial"/>
                <w:color w:val="363636"/>
                <w:sz w:val="20"/>
                <w:szCs w:val="20"/>
              </w:rPr>
            </w:pPr>
          </w:p>
        </w:tc>
        <w:tc>
          <w:tcPr>
            <w:tcW w:w="1096" w:type="dxa"/>
            <w:vAlign w:val="center"/>
          </w:tcPr>
          <w:p w:rsidR="00A0710E" w:rsidRPr="00474895" w:rsidRDefault="00A0710E" w:rsidP="0089188F">
            <w:pPr>
              <w:rPr>
                <w:rFonts w:ascii="Garamond" w:hAnsi="Garamond" w:cs="Arial"/>
                <w:color w:val="363636"/>
                <w:sz w:val="20"/>
                <w:szCs w:val="20"/>
              </w:rPr>
            </w:pPr>
          </w:p>
        </w:tc>
        <w:tc>
          <w:tcPr>
            <w:tcW w:w="1638" w:type="dxa"/>
            <w:vAlign w:val="center"/>
          </w:tcPr>
          <w:p w:rsidR="00A0710E" w:rsidRPr="00474895" w:rsidRDefault="00A0710E" w:rsidP="0089188F">
            <w:pPr>
              <w:rPr>
                <w:rFonts w:ascii="Garamond" w:hAnsi="Garamond" w:cs="Arial"/>
                <w:color w:val="363636"/>
                <w:sz w:val="20"/>
                <w:szCs w:val="20"/>
              </w:rPr>
            </w:pPr>
          </w:p>
        </w:tc>
        <w:tc>
          <w:tcPr>
            <w:tcW w:w="1921" w:type="dxa"/>
            <w:vAlign w:val="center"/>
          </w:tcPr>
          <w:p w:rsidR="00A0710E" w:rsidRPr="00474895" w:rsidRDefault="00A0710E" w:rsidP="0089188F">
            <w:pPr>
              <w:rPr>
                <w:rFonts w:ascii="Garamond" w:hAnsi="Garamond" w:cs="Arial"/>
                <w:color w:val="363636"/>
                <w:sz w:val="20"/>
                <w:szCs w:val="20"/>
              </w:rPr>
            </w:pPr>
          </w:p>
        </w:tc>
        <w:tc>
          <w:tcPr>
            <w:tcW w:w="1732" w:type="dxa"/>
            <w:vAlign w:val="center"/>
          </w:tcPr>
          <w:p w:rsidR="00A0710E" w:rsidRPr="00474895" w:rsidRDefault="00A0710E" w:rsidP="0089188F">
            <w:pPr>
              <w:rPr>
                <w:rFonts w:ascii="Garamond" w:hAnsi="Garamond" w:cs="Arial"/>
                <w:color w:val="363636"/>
                <w:sz w:val="20"/>
                <w:szCs w:val="20"/>
              </w:rPr>
            </w:pPr>
          </w:p>
        </w:tc>
      </w:tr>
      <w:tr w:rsidR="00A0710E" w:rsidRPr="00474895" w:rsidTr="009D6786">
        <w:trPr>
          <w:trHeight w:val="297"/>
        </w:trPr>
        <w:tc>
          <w:tcPr>
            <w:tcW w:w="1664" w:type="dxa"/>
            <w:vAlign w:val="center"/>
          </w:tcPr>
          <w:p w:rsidR="00A0710E" w:rsidRPr="00474895" w:rsidRDefault="00A0710E" w:rsidP="0089188F">
            <w:pPr>
              <w:rPr>
                <w:rFonts w:ascii="Garamond" w:eastAsia="Times New Roman" w:hAnsi="Garamond" w:cs="Arial"/>
                <w:color w:val="363636"/>
                <w:sz w:val="20"/>
                <w:szCs w:val="20"/>
              </w:rPr>
            </w:pPr>
          </w:p>
        </w:tc>
        <w:tc>
          <w:tcPr>
            <w:tcW w:w="1664" w:type="dxa"/>
            <w:vAlign w:val="center"/>
          </w:tcPr>
          <w:p w:rsidR="00A0710E" w:rsidRPr="00474895" w:rsidRDefault="00A0710E" w:rsidP="0089188F">
            <w:pPr>
              <w:rPr>
                <w:rFonts w:ascii="Garamond" w:hAnsi="Garamond" w:cs="Arial"/>
                <w:color w:val="363636"/>
                <w:sz w:val="20"/>
                <w:szCs w:val="20"/>
              </w:rPr>
            </w:pPr>
          </w:p>
        </w:tc>
        <w:tc>
          <w:tcPr>
            <w:tcW w:w="1665" w:type="dxa"/>
            <w:vAlign w:val="center"/>
          </w:tcPr>
          <w:p w:rsidR="00A0710E" w:rsidRPr="00474895" w:rsidRDefault="00A0710E" w:rsidP="0089188F">
            <w:pPr>
              <w:rPr>
                <w:rFonts w:ascii="Garamond" w:hAnsi="Garamond" w:cs="Arial"/>
                <w:color w:val="363636"/>
                <w:sz w:val="20"/>
                <w:szCs w:val="20"/>
              </w:rPr>
            </w:pPr>
          </w:p>
        </w:tc>
        <w:tc>
          <w:tcPr>
            <w:tcW w:w="1570" w:type="dxa"/>
            <w:vAlign w:val="center"/>
          </w:tcPr>
          <w:p w:rsidR="00A0710E" w:rsidRPr="00474895" w:rsidRDefault="00A0710E" w:rsidP="0089188F">
            <w:pPr>
              <w:rPr>
                <w:rFonts w:ascii="Garamond" w:hAnsi="Garamond" w:cs="Arial"/>
                <w:color w:val="363636"/>
                <w:sz w:val="20"/>
                <w:szCs w:val="20"/>
              </w:rPr>
            </w:pPr>
          </w:p>
        </w:tc>
        <w:tc>
          <w:tcPr>
            <w:tcW w:w="1096" w:type="dxa"/>
            <w:vAlign w:val="center"/>
          </w:tcPr>
          <w:p w:rsidR="00A0710E" w:rsidRPr="00474895" w:rsidRDefault="00A0710E" w:rsidP="0089188F">
            <w:pPr>
              <w:rPr>
                <w:rFonts w:ascii="Garamond" w:hAnsi="Garamond" w:cs="Arial"/>
                <w:color w:val="363636"/>
                <w:sz w:val="20"/>
                <w:szCs w:val="20"/>
              </w:rPr>
            </w:pPr>
          </w:p>
        </w:tc>
        <w:tc>
          <w:tcPr>
            <w:tcW w:w="1638" w:type="dxa"/>
            <w:vAlign w:val="center"/>
          </w:tcPr>
          <w:p w:rsidR="00A0710E" w:rsidRPr="00474895" w:rsidRDefault="00A0710E" w:rsidP="0089188F">
            <w:pPr>
              <w:rPr>
                <w:rFonts w:ascii="Garamond" w:hAnsi="Garamond" w:cs="Arial"/>
                <w:color w:val="363636"/>
                <w:sz w:val="20"/>
                <w:szCs w:val="20"/>
              </w:rPr>
            </w:pPr>
          </w:p>
        </w:tc>
        <w:tc>
          <w:tcPr>
            <w:tcW w:w="1921" w:type="dxa"/>
            <w:vAlign w:val="center"/>
          </w:tcPr>
          <w:p w:rsidR="00A0710E" w:rsidRPr="00474895" w:rsidRDefault="00A0710E" w:rsidP="0089188F">
            <w:pPr>
              <w:rPr>
                <w:rFonts w:ascii="Garamond" w:hAnsi="Garamond" w:cs="Arial"/>
                <w:color w:val="363636"/>
                <w:sz w:val="20"/>
                <w:szCs w:val="20"/>
              </w:rPr>
            </w:pPr>
          </w:p>
        </w:tc>
        <w:tc>
          <w:tcPr>
            <w:tcW w:w="1732" w:type="dxa"/>
            <w:vAlign w:val="center"/>
          </w:tcPr>
          <w:p w:rsidR="00A0710E" w:rsidRPr="00474895" w:rsidRDefault="00A0710E" w:rsidP="0089188F">
            <w:pPr>
              <w:rPr>
                <w:rFonts w:ascii="Garamond" w:hAnsi="Garamond" w:cs="Arial"/>
                <w:color w:val="363636"/>
                <w:sz w:val="20"/>
                <w:szCs w:val="20"/>
              </w:rPr>
            </w:pPr>
          </w:p>
        </w:tc>
      </w:tr>
      <w:tr w:rsidR="00A0710E" w:rsidRPr="00474895" w:rsidTr="009D6786">
        <w:trPr>
          <w:trHeight w:val="297"/>
        </w:trPr>
        <w:tc>
          <w:tcPr>
            <w:tcW w:w="1664" w:type="dxa"/>
            <w:vAlign w:val="center"/>
          </w:tcPr>
          <w:p w:rsidR="00A0710E" w:rsidRPr="00474895" w:rsidRDefault="00A0710E" w:rsidP="0089188F">
            <w:pPr>
              <w:rPr>
                <w:rFonts w:ascii="Garamond" w:eastAsia="Times New Roman" w:hAnsi="Garamond" w:cs="Arial"/>
                <w:color w:val="363636"/>
                <w:sz w:val="20"/>
                <w:szCs w:val="20"/>
              </w:rPr>
            </w:pPr>
          </w:p>
        </w:tc>
        <w:tc>
          <w:tcPr>
            <w:tcW w:w="1664" w:type="dxa"/>
            <w:vAlign w:val="center"/>
          </w:tcPr>
          <w:p w:rsidR="00A0710E" w:rsidRPr="00474895" w:rsidRDefault="00A0710E" w:rsidP="0089188F">
            <w:pPr>
              <w:rPr>
                <w:rFonts w:ascii="Garamond" w:hAnsi="Garamond" w:cs="Arial"/>
                <w:color w:val="363636"/>
                <w:sz w:val="20"/>
                <w:szCs w:val="20"/>
              </w:rPr>
            </w:pPr>
          </w:p>
        </w:tc>
        <w:tc>
          <w:tcPr>
            <w:tcW w:w="1665" w:type="dxa"/>
            <w:vAlign w:val="center"/>
          </w:tcPr>
          <w:p w:rsidR="00A0710E" w:rsidRPr="00474895" w:rsidRDefault="00A0710E" w:rsidP="0089188F">
            <w:pPr>
              <w:rPr>
                <w:rFonts w:ascii="Garamond" w:hAnsi="Garamond" w:cs="Arial"/>
                <w:color w:val="363636"/>
                <w:sz w:val="20"/>
                <w:szCs w:val="20"/>
              </w:rPr>
            </w:pPr>
          </w:p>
        </w:tc>
        <w:tc>
          <w:tcPr>
            <w:tcW w:w="1570" w:type="dxa"/>
            <w:vAlign w:val="center"/>
          </w:tcPr>
          <w:p w:rsidR="00A0710E" w:rsidRPr="00474895" w:rsidRDefault="00A0710E" w:rsidP="0089188F">
            <w:pPr>
              <w:rPr>
                <w:rFonts w:ascii="Garamond" w:hAnsi="Garamond" w:cs="Arial"/>
                <w:color w:val="363636"/>
                <w:sz w:val="20"/>
                <w:szCs w:val="20"/>
              </w:rPr>
            </w:pPr>
          </w:p>
        </w:tc>
        <w:tc>
          <w:tcPr>
            <w:tcW w:w="1096" w:type="dxa"/>
            <w:vAlign w:val="center"/>
          </w:tcPr>
          <w:p w:rsidR="00A0710E" w:rsidRPr="00474895" w:rsidRDefault="00A0710E" w:rsidP="0089188F">
            <w:pPr>
              <w:rPr>
                <w:rFonts w:ascii="Garamond" w:hAnsi="Garamond" w:cs="Arial"/>
                <w:color w:val="363636"/>
                <w:sz w:val="20"/>
                <w:szCs w:val="20"/>
              </w:rPr>
            </w:pPr>
          </w:p>
        </w:tc>
        <w:tc>
          <w:tcPr>
            <w:tcW w:w="1638" w:type="dxa"/>
            <w:vAlign w:val="center"/>
          </w:tcPr>
          <w:p w:rsidR="00A0710E" w:rsidRPr="00474895" w:rsidRDefault="00A0710E" w:rsidP="0089188F">
            <w:pPr>
              <w:rPr>
                <w:rFonts w:ascii="Garamond" w:hAnsi="Garamond" w:cs="Arial"/>
                <w:color w:val="363636"/>
                <w:sz w:val="20"/>
                <w:szCs w:val="20"/>
              </w:rPr>
            </w:pPr>
          </w:p>
        </w:tc>
        <w:tc>
          <w:tcPr>
            <w:tcW w:w="1921" w:type="dxa"/>
            <w:vAlign w:val="center"/>
          </w:tcPr>
          <w:p w:rsidR="00A0710E" w:rsidRPr="00474895" w:rsidRDefault="00A0710E" w:rsidP="0089188F">
            <w:pPr>
              <w:rPr>
                <w:rFonts w:ascii="Garamond" w:hAnsi="Garamond" w:cs="Arial"/>
                <w:color w:val="363636"/>
                <w:sz w:val="20"/>
                <w:szCs w:val="20"/>
              </w:rPr>
            </w:pPr>
          </w:p>
        </w:tc>
        <w:tc>
          <w:tcPr>
            <w:tcW w:w="1732" w:type="dxa"/>
            <w:vAlign w:val="center"/>
          </w:tcPr>
          <w:p w:rsidR="00A0710E" w:rsidRPr="00474895" w:rsidRDefault="00A0710E" w:rsidP="0089188F">
            <w:pPr>
              <w:rPr>
                <w:rFonts w:ascii="Garamond" w:hAnsi="Garamond" w:cs="Arial"/>
                <w:color w:val="363636"/>
                <w:sz w:val="20"/>
                <w:szCs w:val="20"/>
              </w:rPr>
            </w:pPr>
          </w:p>
        </w:tc>
      </w:tr>
      <w:tr w:rsidR="00A0710E" w:rsidRPr="00474895" w:rsidTr="009D6786">
        <w:trPr>
          <w:trHeight w:val="297"/>
        </w:trPr>
        <w:tc>
          <w:tcPr>
            <w:tcW w:w="1664" w:type="dxa"/>
            <w:vAlign w:val="center"/>
          </w:tcPr>
          <w:p w:rsidR="00A0710E" w:rsidRPr="00474895" w:rsidRDefault="00A0710E" w:rsidP="0089188F">
            <w:pPr>
              <w:rPr>
                <w:rFonts w:ascii="Garamond" w:eastAsia="Times New Roman" w:hAnsi="Garamond" w:cs="Arial"/>
                <w:color w:val="363636"/>
                <w:sz w:val="20"/>
                <w:szCs w:val="20"/>
              </w:rPr>
            </w:pPr>
          </w:p>
        </w:tc>
        <w:tc>
          <w:tcPr>
            <w:tcW w:w="1664" w:type="dxa"/>
            <w:vAlign w:val="center"/>
          </w:tcPr>
          <w:p w:rsidR="00A0710E" w:rsidRPr="00474895" w:rsidRDefault="00A0710E" w:rsidP="0089188F">
            <w:pPr>
              <w:rPr>
                <w:rFonts w:ascii="Garamond" w:hAnsi="Garamond" w:cs="Arial"/>
                <w:color w:val="363636"/>
                <w:sz w:val="20"/>
                <w:szCs w:val="20"/>
              </w:rPr>
            </w:pPr>
          </w:p>
        </w:tc>
        <w:tc>
          <w:tcPr>
            <w:tcW w:w="1665" w:type="dxa"/>
            <w:vAlign w:val="center"/>
          </w:tcPr>
          <w:p w:rsidR="00A0710E" w:rsidRPr="00474895" w:rsidRDefault="00A0710E" w:rsidP="0089188F">
            <w:pPr>
              <w:rPr>
                <w:rFonts w:ascii="Garamond" w:hAnsi="Garamond" w:cs="Arial"/>
                <w:color w:val="363636"/>
                <w:sz w:val="20"/>
                <w:szCs w:val="20"/>
              </w:rPr>
            </w:pPr>
          </w:p>
        </w:tc>
        <w:tc>
          <w:tcPr>
            <w:tcW w:w="1570" w:type="dxa"/>
            <w:vAlign w:val="center"/>
          </w:tcPr>
          <w:p w:rsidR="00A0710E" w:rsidRPr="00474895" w:rsidRDefault="00A0710E" w:rsidP="0089188F">
            <w:pPr>
              <w:rPr>
                <w:rFonts w:ascii="Garamond" w:hAnsi="Garamond" w:cs="Arial"/>
                <w:color w:val="363636"/>
                <w:sz w:val="20"/>
                <w:szCs w:val="20"/>
              </w:rPr>
            </w:pPr>
          </w:p>
        </w:tc>
        <w:tc>
          <w:tcPr>
            <w:tcW w:w="1096" w:type="dxa"/>
            <w:vAlign w:val="center"/>
          </w:tcPr>
          <w:p w:rsidR="00A0710E" w:rsidRPr="00474895" w:rsidRDefault="00A0710E" w:rsidP="0089188F">
            <w:pPr>
              <w:jc w:val="right"/>
              <w:rPr>
                <w:rFonts w:ascii="Garamond" w:hAnsi="Garamond" w:cs="Arial"/>
                <w:color w:val="363636"/>
                <w:sz w:val="20"/>
                <w:szCs w:val="20"/>
              </w:rPr>
            </w:pPr>
          </w:p>
        </w:tc>
        <w:tc>
          <w:tcPr>
            <w:tcW w:w="1638" w:type="dxa"/>
            <w:vAlign w:val="center"/>
          </w:tcPr>
          <w:p w:rsidR="00A0710E" w:rsidRPr="00474895" w:rsidRDefault="00A0710E" w:rsidP="0089188F">
            <w:pPr>
              <w:rPr>
                <w:rFonts w:ascii="Garamond" w:hAnsi="Garamond" w:cs="Arial"/>
                <w:color w:val="363636"/>
                <w:sz w:val="20"/>
                <w:szCs w:val="20"/>
              </w:rPr>
            </w:pPr>
          </w:p>
        </w:tc>
        <w:tc>
          <w:tcPr>
            <w:tcW w:w="1921" w:type="dxa"/>
            <w:vAlign w:val="center"/>
          </w:tcPr>
          <w:p w:rsidR="00A0710E" w:rsidRPr="00474895" w:rsidRDefault="00A0710E" w:rsidP="0089188F">
            <w:pPr>
              <w:rPr>
                <w:rFonts w:ascii="Garamond" w:hAnsi="Garamond" w:cs="Arial"/>
                <w:color w:val="363636"/>
                <w:sz w:val="20"/>
                <w:szCs w:val="20"/>
              </w:rPr>
            </w:pPr>
          </w:p>
        </w:tc>
        <w:tc>
          <w:tcPr>
            <w:tcW w:w="1732" w:type="dxa"/>
            <w:vAlign w:val="center"/>
          </w:tcPr>
          <w:p w:rsidR="00A0710E" w:rsidRPr="00474895" w:rsidRDefault="00A0710E" w:rsidP="0089188F">
            <w:pPr>
              <w:rPr>
                <w:rFonts w:ascii="Garamond" w:hAnsi="Garamond" w:cs="Arial"/>
                <w:color w:val="363636"/>
                <w:sz w:val="20"/>
                <w:szCs w:val="20"/>
              </w:rPr>
            </w:pPr>
          </w:p>
        </w:tc>
      </w:tr>
      <w:tr w:rsidR="00A0710E" w:rsidRPr="00474895" w:rsidTr="009D6786">
        <w:trPr>
          <w:trHeight w:val="297"/>
        </w:trPr>
        <w:tc>
          <w:tcPr>
            <w:tcW w:w="1664" w:type="dxa"/>
            <w:vAlign w:val="center"/>
          </w:tcPr>
          <w:p w:rsidR="00A0710E" w:rsidRPr="00474895" w:rsidRDefault="00A0710E" w:rsidP="0089188F">
            <w:pPr>
              <w:rPr>
                <w:rFonts w:ascii="Garamond" w:eastAsia="Times New Roman" w:hAnsi="Garamond" w:cs="Arial"/>
                <w:color w:val="363636"/>
                <w:sz w:val="20"/>
                <w:szCs w:val="20"/>
              </w:rPr>
            </w:pPr>
          </w:p>
        </w:tc>
        <w:tc>
          <w:tcPr>
            <w:tcW w:w="1664" w:type="dxa"/>
            <w:vAlign w:val="center"/>
          </w:tcPr>
          <w:p w:rsidR="00A0710E" w:rsidRPr="00474895" w:rsidRDefault="00A0710E" w:rsidP="0089188F">
            <w:pPr>
              <w:rPr>
                <w:rFonts w:ascii="Garamond" w:hAnsi="Garamond" w:cs="Arial"/>
                <w:color w:val="363636"/>
                <w:sz w:val="20"/>
                <w:szCs w:val="20"/>
              </w:rPr>
            </w:pPr>
          </w:p>
        </w:tc>
        <w:tc>
          <w:tcPr>
            <w:tcW w:w="1665" w:type="dxa"/>
            <w:vAlign w:val="center"/>
          </w:tcPr>
          <w:p w:rsidR="00A0710E" w:rsidRPr="00474895" w:rsidRDefault="00A0710E" w:rsidP="0089188F">
            <w:pPr>
              <w:rPr>
                <w:rFonts w:ascii="Garamond" w:hAnsi="Garamond" w:cs="Arial"/>
                <w:color w:val="363636"/>
                <w:sz w:val="20"/>
                <w:szCs w:val="20"/>
              </w:rPr>
            </w:pPr>
          </w:p>
        </w:tc>
        <w:tc>
          <w:tcPr>
            <w:tcW w:w="1570" w:type="dxa"/>
            <w:vAlign w:val="center"/>
          </w:tcPr>
          <w:p w:rsidR="00A0710E" w:rsidRPr="00474895" w:rsidRDefault="00A0710E" w:rsidP="0089188F">
            <w:pPr>
              <w:rPr>
                <w:rFonts w:ascii="Garamond" w:hAnsi="Garamond" w:cs="Arial"/>
                <w:color w:val="363636"/>
                <w:sz w:val="20"/>
                <w:szCs w:val="20"/>
              </w:rPr>
            </w:pPr>
          </w:p>
        </w:tc>
        <w:tc>
          <w:tcPr>
            <w:tcW w:w="1096" w:type="dxa"/>
            <w:vAlign w:val="center"/>
          </w:tcPr>
          <w:p w:rsidR="00A0710E" w:rsidRPr="00474895" w:rsidRDefault="00A0710E" w:rsidP="0089188F">
            <w:pPr>
              <w:jc w:val="right"/>
              <w:rPr>
                <w:rFonts w:ascii="Garamond" w:hAnsi="Garamond" w:cs="Arial"/>
                <w:color w:val="363636"/>
                <w:sz w:val="20"/>
                <w:szCs w:val="20"/>
              </w:rPr>
            </w:pPr>
          </w:p>
        </w:tc>
        <w:tc>
          <w:tcPr>
            <w:tcW w:w="1638" w:type="dxa"/>
            <w:vAlign w:val="center"/>
          </w:tcPr>
          <w:p w:rsidR="00A0710E" w:rsidRPr="00474895" w:rsidRDefault="00A0710E" w:rsidP="0089188F">
            <w:pPr>
              <w:rPr>
                <w:rFonts w:ascii="Garamond" w:hAnsi="Garamond" w:cs="Arial"/>
                <w:color w:val="363636"/>
                <w:sz w:val="20"/>
                <w:szCs w:val="20"/>
              </w:rPr>
            </w:pPr>
          </w:p>
        </w:tc>
        <w:tc>
          <w:tcPr>
            <w:tcW w:w="1921" w:type="dxa"/>
            <w:vAlign w:val="center"/>
          </w:tcPr>
          <w:p w:rsidR="00A0710E" w:rsidRPr="00474895" w:rsidRDefault="00A0710E" w:rsidP="0089188F">
            <w:pPr>
              <w:rPr>
                <w:rFonts w:ascii="Garamond" w:hAnsi="Garamond" w:cs="Arial"/>
                <w:color w:val="363636"/>
                <w:sz w:val="20"/>
                <w:szCs w:val="20"/>
              </w:rPr>
            </w:pPr>
          </w:p>
        </w:tc>
        <w:tc>
          <w:tcPr>
            <w:tcW w:w="1732" w:type="dxa"/>
            <w:vAlign w:val="center"/>
          </w:tcPr>
          <w:p w:rsidR="00A0710E" w:rsidRPr="00474895" w:rsidRDefault="00A0710E" w:rsidP="0089188F">
            <w:pPr>
              <w:rPr>
                <w:rFonts w:ascii="Garamond" w:hAnsi="Garamond" w:cs="Arial"/>
                <w:color w:val="363636"/>
                <w:sz w:val="20"/>
                <w:szCs w:val="20"/>
              </w:rPr>
            </w:pPr>
          </w:p>
        </w:tc>
      </w:tr>
      <w:tr w:rsidR="009D6786" w:rsidRPr="00474895" w:rsidTr="009D6786">
        <w:trPr>
          <w:trHeight w:val="297"/>
        </w:trPr>
        <w:tc>
          <w:tcPr>
            <w:tcW w:w="1664" w:type="dxa"/>
            <w:vAlign w:val="center"/>
          </w:tcPr>
          <w:p w:rsidR="00A0710E" w:rsidRPr="00474895" w:rsidRDefault="00A0710E" w:rsidP="0089188F">
            <w:pPr>
              <w:rPr>
                <w:rFonts w:ascii="Garamond" w:eastAsia="Times New Roman" w:hAnsi="Garamond" w:cs="Arial"/>
                <w:color w:val="363636"/>
                <w:sz w:val="20"/>
                <w:szCs w:val="20"/>
              </w:rPr>
            </w:pPr>
          </w:p>
        </w:tc>
        <w:tc>
          <w:tcPr>
            <w:tcW w:w="1664" w:type="dxa"/>
            <w:vAlign w:val="center"/>
          </w:tcPr>
          <w:p w:rsidR="00A0710E" w:rsidRPr="00474895" w:rsidRDefault="00A0710E" w:rsidP="0089188F">
            <w:pPr>
              <w:rPr>
                <w:rFonts w:ascii="Garamond" w:hAnsi="Garamond" w:cs="Arial"/>
                <w:color w:val="363636"/>
                <w:sz w:val="20"/>
                <w:szCs w:val="20"/>
              </w:rPr>
            </w:pPr>
          </w:p>
        </w:tc>
        <w:tc>
          <w:tcPr>
            <w:tcW w:w="1665" w:type="dxa"/>
            <w:vAlign w:val="center"/>
          </w:tcPr>
          <w:p w:rsidR="00A0710E" w:rsidRPr="00474895" w:rsidRDefault="00A0710E" w:rsidP="0089188F">
            <w:pPr>
              <w:rPr>
                <w:rFonts w:ascii="Garamond" w:hAnsi="Garamond" w:cs="Arial"/>
                <w:color w:val="363636"/>
                <w:sz w:val="20"/>
                <w:szCs w:val="20"/>
              </w:rPr>
            </w:pPr>
          </w:p>
        </w:tc>
        <w:tc>
          <w:tcPr>
            <w:tcW w:w="1570" w:type="dxa"/>
            <w:vAlign w:val="center"/>
          </w:tcPr>
          <w:p w:rsidR="00A0710E" w:rsidRPr="00474895" w:rsidRDefault="00A0710E" w:rsidP="0089188F">
            <w:pPr>
              <w:rPr>
                <w:rFonts w:ascii="Garamond" w:hAnsi="Garamond" w:cs="Arial"/>
                <w:color w:val="363636"/>
                <w:sz w:val="20"/>
                <w:szCs w:val="20"/>
              </w:rPr>
            </w:pPr>
          </w:p>
        </w:tc>
        <w:tc>
          <w:tcPr>
            <w:tcW w:w="1096" w:type="dxa"/>
            <w:vAlign w:val="center"/>
          </w:tcPr>
          <w:p w:rsidR="00A0710E" w:rsidRPr="00474895" w:rsidRDefault="00A0710E" w:rsidP="0089188F">
            <w:pPr>
              <w:jc w:val="right"/>
              <w:rPr>
                <w:rFonts w:ascii="Garamond" w:hAnsi="Garamond" w:cs="Arial"/>
                <w:color w:val="363636"/>
                <w:sz w:val="20"/>
                <w:szCs w:val="20"/>
              </w:rPr>
            </w:pPr>
          </w:p>
        </w:tc>
        <w:tc>
          <w:tcPr>
            <w:tcW w:w="1638" w:type="dxa"/>
            <w:vAlign w:val="center"/>
          </w:tcPr>
          <w:p w:rsidR="00A0710E" w:rsidRPr="00474895" w:rsidRDefault="00A0710E" w:rsidP="0089188F">
            <w:pPr>
              <w:rPr>
                <w:rFonts w:ascii="Garamond" w:hAnsi="Garamond" w:cs="Arial"/>
                <w:color w:val="363636"/>
                <w:sz w:val="20"/>
                <w:szCs w:val="20"/>
              </w:rPr>
            </w:pPr>
          </w:p>
        </w:tc>
        <w:tc>
          <w:tcPr>
            <w:tcW w:w="1921" w:type="dxa"/>
            <w:vAlign w:val="center"/>
          </w:tcPr>
          <w:p w:rsidR="00A0710E" w:rsidRPr="00474895" w:rsidRDefault="00A0710E" w:rsidP="0089188F">
            <w:pPr>
              <w:rPr>
                <w:rFonts w:ascii="Garamond" w:hAnsi="Garamond" w:cs="Arial"/>
                <w:color w:val="363636"/>
                <w:sz w:val="20"/>
                <w:szCs w:val="20"/>
              </w:rPr>
            </w:pPr>
          </w:p>
        </w:tc>
        <w:tc>
          <w:tcPr>
            <w:tcW w:w="1732" w:type="dxa"/>
            <w:vAlign w:val="center"/>
          </w:tcPr>
          <w:p w:rsidR="00A0710E" w:rsidRPr="00474895" w:rsidRDefault="00A0710E" w:rsidP="0089188F">
            <w:pPr>
              <w:rPr>
                <w:rFonts w:ascii="Garamond" w:hAnsi="Garamond" w:cs="Arial"/>
                <w:color w:val="363636"/>
                <w:sz w:val="20"/>
                <w:szCs w:val="20"/>
              </w:rPr>
            </w:pPr>
          </w:p>
        </w:tc>
      </w:tr>
      <w:tr w:rsidR="009D6786" w:rsidRPr="00474895" w:rsidTr="009D6786">
        <w:trPr>
          <w:trHeight w:val="297"/>
        </w:trPr>
        <w:tc>
          <w:tcPr>
            <w:tcW w:w="1664" w:type="dxa"/>
            <w:vAlign w:val="center"/>
          </w:tcPr>
          <w:p w:rsidR="00A0710E" w:rsidRPr="00474895" w:rsidRDefault="00A0710E" w:rsidP="0089188F">
            <w:pPr>
              <w:rPr>
                <w:rFonts w:ascii="Garamond" w:eastAsia="Times New Roman" w:hAnsi="Garamond" w:cs="Arial"/>
                <w:color w:val="363636"/>
                <w:sz w:val="20"/>
                <w:szCs w:val="20"/>
              </w:rPr>
            </w:pPr>
          </w:p>
        </w:tc>
        <w:tc>
          <w:tcPr>
            <w:tcW w:w="1664" w:type="dxa"/>
            <w:vAlign w:val="center"/>
          </w:tcPr>
          <w:p w:rsidR="00A0710E" w:rsidRPr="00474895" w:rsidRDefault="00A0710E" w:rsidP="0089188F">
            <w:pPr>
              <w:rPr>
                <w:rFonts w:ascii="Garamond" w:hAnsi="Garamond" w:cs="Arial"/>
                <w:color w:val="363636"/>
                <w:sz w:val="20"/>
                <w:szCs w:val="20"/>
              </w:rPr>
            </w:pPr>
          </w:p>
        </w:tc>
        <w:tc>
          <w:tcPr>
            <w:tcW w:w="1665" w:type="dxa"/>
            <w:vAlign w:val="center"/>
          </w:tcPr>
          <w:p w:rsidR="00A0710E" w:rsidRPr="00474895" w:rsidRDefault="00A0710E" w:rsidP="0089188F">
            <w:pPr>
              <w:rPr>
                <w:rFonts w:ascii="Garamond" w:hAnsi="Garamond" w:cs="Arial"/>
                <w:color w:val="363636"/>
                <w:sz w:val="20"/>
                <w:szCs w:val="20"/>
              </w:rPr>
            </w:pPr>
          </w:p>
        </w:tc>
        <w:tc>
          <w:tcPr>
            <w:tcW w:w="1570" w:type="dxa"/>
            <w:vAlign w:val="center"/>
          </w:tcPr>
          <w:p w:rsidR="00A0710E" w:rsidRPr="00474895" w:rsidRDefault="00A0710E" w:rsidP="0089188F">
            <w:pPr>
              <w:rPr>
                <w:rFonts w:ascii="Garamond" w:hAnsi="Garamond" w:cs="Arial"/>
                <w:color w:val="363636"/>
                <w:sz w:val="20"/>
                <w:szCs w:val="20"/>
              </w:rPr>
            </w:pPr>
          </w:p>
        </w:tc>
        <w:tc>
          <w:tcPr>
            <w:tcW w:w="1096" w:type="dxa"/>
            <w:vAlign w:val="center"/>
          </w:tcPr>
          <w:p w:rsidR="00A0710E" w:rsidRPr="00474895" w:rsidRDefault="00A0710E" w:rsidP="0089188F">
            <w:pPr>
              <w:jc w:val="right"/>
              <w:rPr>
                <w:rFonts w:ascii="Garamond" w:hAnsi="Garamond" w:cs="Arial"/>
                <w:color w:val="363636"/>
                <w:sz w:val="20"/>
                <w:szCs w:val="20"/>
              </w:rPr>
            </w:pPr>
          </w:p>
        </w:tc>
        <w:tc>
          <w:tcPr>
            <w:tcW w:w="1638" w:type="dxa"/>
            <w:vAlign w:val="center"/>
          </w:tcPr>
          <w:p w:rsidR="00A0710E" w:rsidRPr="00474895" w:rsidRDefault="00A0710E" w:rsidP="0089188F">
            <w:pPr>
              <w:rPr>
                <w:rFonts w:ascii="Garamond" w:hAnsi="Garamond" w:cs="Arial"/>
                <w:color w:val="363636"/>
                <w:sz w:val="20"/>
                <w:szCs w:val="20"/>
              </w:rPr>
            </w:pPr>
          </w:p>
        </w:tc>
        <w:tc>
          <w:tcPr>
            <w:tcW w:w="1921" w:type="dxa"/>
            <w:vAlign w:val="center"/>
          </w:tcPr>
          <w:p w:rsidR="00A0710E" w:rsidRPr="00474895" w:rsidRDefault="00A0710E" w:rsidP="0089188F">
            <w:pPr>
              <w:rPr>
                <w:rFonts w:ascii="Garamond" w:hAnsi="Garamond" w:cs="Arial"/>
                <w:color w:val="363636"/>
                <w:sz w:val="20"/>
                <w:szCs w:val="20"/>
              </w:rPr>
            </w:pPr>
          </w:p>
        </w:tc>
        <w:tc>
          <w:tcPr>
            <w:tcW w:w="1732" w:type="dxa"/>
            <w:vAlign w:val="center"/>
          </w:tcPr>
          <w:p w:rsidR="00A0710E" w:rsidRPr="00474895" w:rsidRDefault="00A0710E" w:rsidP="0089188F">
            <w:pPr>
              <w:rPr>
                <w:rFonts w:ascii="Garamond" w:hAnsi="Garamond" w:cs="Arial"/>
                <w:color w:val="363636"/>
                <w:sz w:val="20"/>
                <w:szCs w:val="20"/>
              </w:rPr>
            </w:pPr>
          </w:p>
        </w:tc>
      </w:tr>
    </w:tbl>
    <w:p w:rsidR="00C37DDE" w:rsidRPr="00474895" w:rsidRDefault="00C37DDE">
      <w:pPr>
        <w:rPr>
          <w:rFonts w:ascii="Garamond" w:hAnsi="Garamond"/>
          <w:sz w:val="20"/>
          <w:szCs w:val="20"/>
        </w:rPr>
      </w:pPr>
    </w:p>
    <w:p w:rsidR="009D6786" w:rsidRPr="00474895" w:rsidRDefault="009D6786">
      <w:pPr>
        <w:rPr>
          <w:rFonts w:ascii="Garamond" w:hAnsi="Garamond"/>
          <w:sz w:val="20"/>
          <w:szCs w:val="20"/>
        </w:rPr>
      </w:pPr>
    </w:p>
    <w:p w:rsidR="009D6786" w:rsidRPr="00474895" w:rsidRDefault="009D6786">
      <w:pPr>
        <w:rPr>
          <w:rFonts w:ascii="Garamond" w:hAnsi="Garamond"/>
          <w:sz w:val="20"/>
          <w:szCs w:val="20"/>
        </w:rPr>
      </w:pPr>
    </w:p>
    <w:p w:rsidR="009D6786" w:rsidRPr="00474895" w:rsidRDefault="009D6786">
      <w:pPr>
        <w:rPr>
          <w:rFonts w:ascii="Garamond" w:hAnsi="Garamond"/>
          <w:sz w:val="20"/>
          <w:szCs w:val="20"/>
        </w:rPr>
      </w:pPr>
      <w:r w:rsidRPr="00474895">
        <w:rPr>
          <w:rFonts w:ascii="Garamond" w:hAnsi="Garamond"/>
          <w:sz w:val="20"/>
          <w:szCs w:val="20"/>
        </w:rPr>
        <w:br w:type="page"/>
      </w:r>
    </w:p>
    <w:tbl>
      <w:tblPr>
        <w:tblStyle w:val="TableGrid"/>
        <w:tblW w:w="0" w:type="auto"/>
        <w:tblLook w:val="04A0" w:firstRow="1" w:lastRow="0" w:firstColumn="1" w:lastColumn="0" w:noHBand="0" w:noVBand="1"/>
      </w:tblPr>
      <w:tblGrid>
        <w:gridCol w:w="1559"/>
        <w:gridCol w:w="1573"/>
        <w:gridCol w:w="1630"/>
        <w:gridCol w:w="1630"/>
        <w:gridCol w:w="1160"/>
        <w:gridCol w:w="1743"/>
        <w:gridCol w:w="1617"/>
        <w:gridCol w:w="2038"/>
      </w:tblGrid>
      <w:tr w:rsidR="009D6786" w:rsidRPr="00474895" w:rsidTr="0089188F">
        <w:trPr>
          <w:trHeight w:val="297"/>
        </w:trPr>
        <w:tc>
          <w:tcPr>
            <w:tcW w:w="12950" w:type="dxa"/>
            <w:gridSpan w:val="8"/>
          </w:tcPr>
          <w:p w:rsidR="009D6786" w:rsidRPr="00474895" w:rsidRDefault="00474895" w:rsidP="0089188F">
            <w:pPr>
              <w:jc w:val="center"/>
              <w:rPr>
                <w:rFonts w:ascii="Garamond" w:hAnsi="Garamond" w:cs="Times New Roman (Body CS)"/>
                <w:b/>
                <w:caps/>
                <w:sz w:val="20"/>
                <w:szCs w:val="20"/>
              </w:rPr>
            </w:pPr>
            <w:r w:rsidRPr="00474895">
              <w:rPr>
                <w:rFonts w:ascii="Garamond" w:hAnsi="Garamond" w:cs="Times New Roman (Body CS)"/>
                <w:b/>
                <w:caps/>
                <w:sz w:val="20"/>
                <w:szCs w:val="20"/>
              </w:rPr>
              <w:t>competitive intensity</w:t>
            </w:r>
          </w:p>
        </w:tc>
      </w:tr>
      <w:tr w:rsidR="00474895" w:rsidRPr="00474895" w:rsidTr="00474895">
        <w:trPr>
          <w:trHeight w:val="236"/>
        </w:trPr>
        <w:tc>
          <w:tcPr>
            <w:tcW w:w="1562" w:type="dxa"/>
            <w:vAlign w:val="center"/>
          </w:tcPr>
          <w:p w:rsidR="009D6786" w:rsidRPr="00474895" w:rsidRDefault="009D6786" w:rsidP="0089188F">
            <w:pPr>
              <w:jc w:val="center"/>
              <w:rPr>
                <w:rFonts w:ascii="Garamond" w:hAnsi="Garamond" w:cs="Arial"/>
                <w:b/>
                <w:bCs/>
                <w:color w:val="363636"/>
                <w:sz w:val="20"/>
                <w:szCs w:val="20"/>
              </w:rPr>
            </w:pPr>
            <w:r w:rsidRPr="00474895">
              <w:rPr>
                <w:rFonts w:ascii="Garamond" w:hAnsi="Garamond" w:cs="Arial"/>
                <w:b/>
                <w:bCs/>
                <w:color w:val="363636"/>
                <w:sz w:val="20"/>
                <w:szCs w:val="20"/>
              </w:rPr>
              <w:t>Category</w:t>
            </w:r>
          </w:p>
        </w:tc>
        <w:tc>
          <w:tcPr>
            <w:tcW w:w="1576" w:type="dxa"/>
            <w:vAlign w:val="center"/>
          </w:tcPr>
          <w:p w:rsidR="009D6786" w:rsidRPr="00474895" w:rsidRDefault="009D6786" w:rsidP="0089188F">
            <w:pPr>
              <w:jc w:val="center"/>
              <w:rPr>
                <w:rFonts w:ascii="Garamond" w:hAnsi="Garamond" w:cs="Arial"/>
                <w:b/>
                <w:bCs/>
                <w:color w:val="363636"/>
                <w:sz w:val="20"/>
                <w:szCs w:val="20"/>
              </w:rPr>
            </w:pPr>
            <w:r w:rsidRPr="00474895">
              <w:rPr>
                <w:rFonts w:ascii="Garamond" w:hAnsi="Garamond" w:cs="Arial"/>
                <w:b/>
                <w:bCs/>
                <w:color w:val="363636"/>
                <w:sz w:val="20"/>
                <w:szCs w:val="20"/>
              </w:rPr>
              <w:t>Criteria</w:t>
            </w:r>
          </w:p>
        </w:tc>
        <w:tc>
          <w:tcPr>
            <w:tcW w:w="1633" w:type="dxa"/>
            <w:vAlign w:val="center"/>
          </w:tcPr>
          <w:p w:rsidR="009D6786" w:rsidRPr="00474895" w:rsidRDefault="009D6786" w:rsidP="0089188F">
            <w:pPr>
              <w:jc w:val="center"/>
              <w:rPr>
                <w:rFonts w:ascii="Garamond" w:hAnsi="Garamond" w:cs="Arial"/>
                <w:b/>
                <w:bCs/>
                <w:color w:val="363636"/>
                <w:sz w:val="20"/>
                <w:szCs w:val="20"/>
              </w:rPr>
            </w:pPr>
            <w:r w:rsidRPr="00474895">
              <w:rPr>
                <w:rFonts w:ascii="Garamond" w:hAnsi="Garamond" w:cs="Arial"/>
                <w:b/>
                <w:bCs/>
                <w:color w:val="363636"/>
                <w:sz w:val="20"/>
                <w:szCs w:val="20"/>
              </w:rPr>
              <w:t>Definition</w:t>
            </w:r>
          </w:p>
        </w:tc>
        <w:tc>
          <w:tcPr>
            <w:tcW w:w="1633" w:type="dxa"/>
            <w:vAlign w:val="center"/>
          </w:tcPr>
          <w:p w:rsidR="009D6786" w:rsidRPr="00474895" w:rsidRDefault="009D6786" w:rsidP="0089188F">
            <w:pPr>
              <w:jc w:val="center"/>
              <w:rPr>
                <w:rFonts w:ascii="Garamond" w:hAnsi="Garamond" w:cs="Arial"/>
                <w:b/>
                <w:bCs/>
                <w:color w:val="363636"/>
                <w:sz w:val="20"/>
                <w:szCs w:val="20"/>
              </w:rPr>
            </w:pPr>
            <w:r w:rsidRPr="00474895">
              <w:rPr>
                <w:rFonts w:ascii="Garamond" w:hAnsi="Garamond" w:cs="Arial"/>
                <w:b/>
                <w:bCs/>
                <w:color w:val="363636"/>
                <w:sz w:val="20"/>
                <w:szCs w:val="20"/>
              </w:rPr>
              <w:t>Metric</w:t>
            </w:r>
          </w:p>
        </w:tc>
        <w:tc>
          <w:tcPr>
            <w:tcW w:w="1137" w:type="dxa"/>
            <w:vAlign w:val="center"/>
          </w:tcPr>
          <w:p w:rsidR="009D6786" w:rsidRPr="00474895" w:rsidRDefault="009D6786" w:rsidP="0089188F">
            <w:pPr>
              <w:jc w:val="center"/>
              <w:rPr>
                <w:rFonts w:ascii="Garamond" w:hAnsi="Garamond" w:cs="Arial"/>
                <w:b/>
                <w:bCs/>
                <w:color w:val="363636"/>
                <w:sz w:val="20"/>
                <w:szCs w:val="20"/>
              </w:rPr>
            </w:pPr>
            <w:r w:rsidRPr="00474895">
              <w:rPr>
                <w:rFonts w:ascii="Garamond" w:hAnsi="Garamond" w:cs="Arial"/>
                <w:b/>
                <w:bCs/>
                <w:color w:val="363636"/>
                <w:sz w:val="20"/>
                <w:szCs w:val="20"/>
              </w:rPr>
              <w:t>Timeframe</w:t>
            </w:r>
          </w:p>
        </w:tc>
        <w:tc>
          <w:tcPr>
            <w:tcW w:w="1747" w:type="dxa"/>
            <w:vAlign w:val="center"/>
          </w:tcPr>
          <w:p w:rsidR="009D6786" w:rsidRPr="00474895" w:rsidRDefault="009D6786" w:rsidP="0089188F">
            <w:pPr>
              <w:jc w:val="center"/>
              <w:rPr>
                <w:rFonts w:ascii="Garamond" w:hAnsi="Garamond" w:cs="Arial"/>
                <w:b/>
                <w:bCs/>
                <w:color w:val="363636"/>
                <w:sz w:val="20"/>
                <w:szCs w:val="20"/>
              </w:rPr>
            </w:pPr>
            <w:r w:rsidRPr="00474895">
              <w:rPr>
                <w:rFonts w:ascii="Garamond" w:hAnsi="Garamond" w:cs="Arial"/>
                <w:b/>
                <w:bCs/>
                <w:color w:val="363636"/>
                <w:sz w:val="20"/>
                <w:szCs w:val="20"/>
              </w:rPr>
              <w:t>Purpose</w:t>
            </w:r>
          </w:p>
        </w:tc>
        <w:tc>
          <w:tcPr>
            <w:tcW w:w="1619" w:type="dxa"/>
            <w:vAlign w:val="center"/>
          </w:tcPr>
          <w:p w:rsidR="009D6786" w:rsidRPr="00474895" w:rsidRDefault="009D6786" w:rsidP="0089188F">
            <w:pPr>
              <w:jc w:val="center"/>
              <w:rPr>
                <w:rFonts w:ascii="Garamond" w:hAnsi="Garamond" w:cs="Arial"/>
                <w:b/>
                <w:bCs/>
                <w:color w:val="363636"/>
                <w:sz w:val="20"/>
                <w:szCs w:val="20"/>
              </w:rPr>
            </w:pPr>
            <w:r w:rsidRPr="00474895">
              <w:rPr>
                <w:rFonts w:ascii="Garamond" w:hAnsi="Garamond" w:cs="Arial"/>
                <w:b/>
                <w:bCs/>
                <w:color w:val="363636"/>
                <w:sz w:val="20"/>
                <w:szCs w:val="20"/>
              </w:rPr>
              <w:t>Use &amp; Applicability</w:t>
            </w:r>
          </w:p>
        </w:tc>
        <w:tc>
          <w:tcPr>
            <w:tcW w:w="2043" w:type="dxa"/>
            <w:vAlign w:val="center"/>
          </w:tcPr>
          <w:p w:rsidR="009D6786" w:rsidRPr="00474895" w:rsidRDefault="009D6786" w:rsidP="0089188F">
            <w:pPr>
              <w:jc w:val="center"/>
              <w:rPr>
                <w:rFonts w:ascii="Garamond" w:hAnsi="Garamond" w:cs="Arial"/>
                <w:b/>
                <w:bCs/>
                <w:color w:val="363636"/>
                <w:sz w:val="20"/>
                <w:szCs w:val="20"/>
              </w:rPr>
            </w:pPr>
            <w:r w:rsidRPr="00474895">
              <w:rPr>
                <w:rFonts w:ascii="Garamond" w:hAnsi="Garamond" w:cs="Arial"/>
                <w:b/>
                <w:bCs/>
                <w:color w:val="363636"/>
                <w:sz w:val="20"/>
                <w:szCs w:val="20"/>
              </w:rPr>
              <w:t>Source</w:t>
            </w:r>
          </w:p>
        </w:tc>
      </w:tr>
      <w:tr w:rsidR="00474895" w:rsidRPr="00474895" w:rsidTr="00474895">
        <w:trPr>
          <w:trHeight w:val="2360"/>
        </w:trPr>
        <w:tc>
          <w:tcPr>
            <w:tcW w:w="1562" w:type="dxa"/>
            <w:vAlign w:val="center"/>
          </w:tcPr>
          <w:p w:rsidR="009D6786" w:rsidRPr="00474895" w:rsidRDefault="009D6786" w:rsidP="0089188F">
            <w:pPr>
              <w:rPr>
                <w:rFonts w:ascii="Garamond" w:eastAsia="Times New Roman" w:hAnsi="Garamond" w:cs="Arial"/>
                <w:color w:val="363636"/>
                <w:sz w:val="20"/>
                <w:szCs w:val="20"/>
              </w:rPr>
            </w:pPr>
          </w:p>
        </w:tc>
        <w:tc>
          <w:tcPr>
            <w:tcW w:w="1576" w:type="dxa"/>
            <w:vAlign w:val="center"/>
          </w:tcPr>
          <w:p w:rsidR="009D6786" w:rsidRPr="00474895" w:rsidRDefault="009D6786" w:rsidP="0089188F">
            <w:pPr>
              <w:rPr>
                <w:rFonts w:ascii="Garamond" w:hAnsi="Garamond" w:cs="Arial"/>
                <w:color w:val="363636"/>
                <w:sz w:val="20"/>
                <w:szCs w:val="20"/>
              </w:rPr>
            </w:pPr>
          </w:p>
        </w:tc>
        <w:tc>
          <w:tcPr>
            <w:tcW w:w="1633" w:type="dxa"/>
            <w:vAlign w:val="center"/>
          </w:tcPr>
          <w:p w:rsidR="009D6786" w:rsidRPr="00474895" w:rsidRDefault="009D6786" w:rsidP="0089188F">
            <w:pPr>
              <w:rPr>
                <w:rFonts w:ascii="Garamond" w:hAnsi="Garamond" w:cs="Arial"/>
                <w:color w:val="363636"/>
                <w:sz w:val="20"/>
                <w:szCs w:val="20"/>
              </w:rPr>
            </w:pPr>
          </w:p>
        </w:tc>
        <w:tc>
          <w:tcPr>
            <w:tcW w:w="1633" w:type="dxa"/>
            <w:vAlign w:val="center"/>
          </w:tcPr>
          <w:p w:rsidR="009D6786" w:rsidRPr="00474895" w:rsidRDefault="009D6786" w:rsidP="0089188F">
            <w:pPr>
              <w:rPr>
                <w:rFonts w:ascii="Garamond" w:hAnsi="Garamond" w:cs="Arial"/>
                <w:color w:val="363636"/>
                <w:sz w:val="20"/>
                <w:szCs w:val="20"/>
              </w:rPr>
            </w:pPr>
          </w:p>
        </w:tc>
        <w:tc>
          <w:tcPr>
            <w:tcW w:w="1137" w:type="dxa"/>
            <w:vAlign w:val="center"/>
          </w:tcPr>
          <w:p w:rsidR="009D6786" w:rsidRPr="00474895" w:rsidRDefault="009D6786" w:rsidP="0089188F">
            <w:pPr>
              <w:rPr>
                <w:rFonts w:ascii="Garamond" w:hAnsi="Garamond" w:cs="Arial"/>
                <w:color w:val="363636"/>
                <w:sz w:val="20"/>
                <w:szCs w:val="20"/>
              </w:rPr>
            </w:pPr>
          </w:p>
        </w:tc>
        <w:tc>
          <w:tcPr>
            <w:tcW w:w="1747" w:type="dxa"/>
            <w:vAlign w:val="center"/>
          </w:tcPr>
          <w:p w:rsidR="009D6786" w:rsidRPr="00474895" w:rsidRDefault="009D6786" w:rsidP="0089188F">
            <w:pPr>
              <w:rPr>
                <w:rFonts w:ascii="Garamond" w:hAnsi="Garamond" w:cs="Arial"/>
                <w:color w:val="363636"/>
                <w:sz w:val="20"/>
                <w:szCs w:val="20"/>
              </w:rPr>
            </w:pPr>
          </w:p>
        </w:tc>
        <w:tc>
          <w:tcPr>
            <w:tcW w:w="1619" w:type="dxa"/>
            <w:vAlign w:val="center"/>
          </w:tcPr>
          <w:p w:rsidR="009D6786" w:rsidRPr="00474895" w:rsidRDefault="009D6786" w:rsidP="0089188F">
            <w:pPr>
              <w:rPr>
                <w:rFonts w:ascii="Garamond" w:hAnsi="Garamond" w:cs="Arial"/>
                <w:color w:val="363636"/>
                <w:sz w:val="20"/>
                <w:szCs w:val="20"/>
              </w:rPr>
            </w:pPr>
          </w:p>
        </w:tc>
        <w:tc>
          <w:tcPr>
            <w:tcW w:w="2043" w:type="dxa"/>
            <w:vAlign w:val="center"/>
          </w:tcPr>
          <w:p w:rsidR="009D6786" w:rsidRPr="00474895" w:rsidRDefault="009D6786" w:rsidP="0089188F">
            <w:pPr>
              <w:rPr>
                <w:rFonts w:ascii="Garamond" w:hAnsi="Garamond" w:cs="Arial"/>
                <w:color w:val="363636"/>
                <w:sz w:val="20"/>
                <w:szCs w:val="20"/>
              </w:rPr>
            </w:pPr>
          </w:p>
        </w:tc>
      </w:tr>
      <w:tr w:rsidR="00474895" w:rsidRPr="00474895" w:rsidTr="00474895">
        <w:trPr>
          <w:trHeight w:val="297"/>
        </w:trPr>
        <w:tc>
          <w:tcPr>
            <w:tcW w:w="1562" w:type="dxa"/>
            <w:vAlign w:val="center"/>
          </w:tcPr>
          <w:p w:rsidR="00474895" w:rsidRPr="00474895" w:rsidRDefault="00474895" w:rsidP="00474895">
            <w:pPr>
              <w:rPr>
                <w:rFonts w:ascii="Garamond" w:eastAsia="Times New Roman"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Institutions</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The total number of competitors reporting IPEDS completions</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Number of Competitors</w:t>
            </w:r>
          </w:p>
        </w:tc>
        <w:tc>
          <w:tcPr>
            <w:tcW w:w="1137" w:type="dxa"/>
            <w:vAlign w:val="center"/>
          </w:tcPr>
          <w:p w:rsidR="00474895" w:rsidRPr="00474895" w:rsidRDefault="00474895" w:rsidP="00474895">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Reveal the volume and concentration of competition</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Best measure of number of competing programs. Excludes online programs not reported in the market.</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Number of Institutions and Change in Number of Institutions from IPEDS (with Gray enhancements).</w:t>
            </w:r>
          </w:p>
        </w:tc>
      </w:tr>
      <w:tr w:rsidR="00474895" w:rsidRPr="00474895" w:rsidTr="00474895">
        <w:trPr>
          <w:trHeight w:val="297"/>
        </w:trPr>
        <w:tc>
          <w:tcPr>
            <w:tcW w:w="1562"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Institutions</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The year-over-year change in the total number of institutions reporting completions</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YoY Change in Competitors</w:t>
            </w:r>
          </w:p>
        </w:tc>
        <w:tc>
          <w:tcPr>
            <w:tcW w:w="113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2017 vs. 2016</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Identify programs where schools are entering or leaving the market</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Indication of whether competition is intensifying. Departing programs may indicate an opportunity or problem.</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Number of Institutions and Change in Number of Institutions from IPEDS (with Gray enhancements).</w:t>
            </w:r>
          </w:p>
        </w:tc>
      </w:tr>
      <w:tr w:rsidR="00474895" w:rsidRPr="00474895" w:rsidTr="00474895">
        <w:trPr>
          <w:trHeight w:val="297"/>
        </w:trPr>
        <w:tc>
          <w:tcPr>
            <w:tcW w:w="1562" w:type="dxa"/>
            <w:vAlign w:val="center"/>
          </w:tcPr>
          <w:p w:rsidR="00474895" w:rsidRPr="00474895" w:rsidRDefault="00474895" w:rsidP="00474895">
            <w:pPr>
              <w:rPr>
                <w:rFonts w:ascii="Garamond" w:eastAsia="Times New Roman"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Market Saturation</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Number of IPEDS completions per 1,000 people aged 18-44</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Completions Per Capita</w:t>
            </w:r>
          </w:p>
        </w:tc>
        <w:tc>
          <w:tcPr>
            <w:tcW w:w="1137" w:type="dxa"/>
            <w:vAlign w:val="center"/>
          </w:tcPr>
          <w:p w:rsidR="00474895" w:rsidRPr="00474895" w:rsidRDefault="00474895" w:rsidP="00474895">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Determine market saturation relative to the rest of the U.S.</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Indicator of demand saturation relative to comparable program in other markets.</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Completions per capita from IPEDS completions (enhanced) and Census Population – Age 18-44.</w:t>
            </w:r>
          </w:p>
        </w:tc>
      </w:tr>
      <w:tr w:rsidR="00474895" w:rsidRPr="00474895" w:rsidTr="00474895">
        <w:trPr>
          <w:trHeight w:val="297"/>
        </w:trPr>
        <w:tc>
          <w:tcPr>
            <w:tcW w:w="1562" w:type="dxa"/>
            <w:vAlign w:val="center"/>
          </w:tcPr>
          <w:p w:rsidR="00474895" w:rsidRPr="00474895" w:rsidRDefault="00474895" w:rsidP="00474895">
            <w:pPr>
              <w:rPr>
                <w:rFonts w:ascii="Garamond" w:eastAsia="Times New Roman"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Cost Per Inquiry</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The average amount paid per inquiry by an agency or a school</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Cost Per Inquiry</w:t>
            </w:r>
          </w:p>
        </w:tc>
        <w:tc>
          <w:tcPr>
            <w:tcW w:w="113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Q1 2018 - Q4 2018</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Evaluate the cost of purchasing affiliate leads</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Important indicator of competitive intensity for programs that plan to buy student inquiries</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Cost per Inquiry from GrayReports Inquiry Data, for pay-per-lead inquiries.</w:t>
            </w:r>
          </w:p>
        </w:tc>
      </w:tr>
      <w:tr w:rsidR="00474895" w:rsidRPr="00474895" w:rsidTr="00474895">
        <w:trPr>
          <w:trHeight w:val="297"/>
        </w:trPr>
        <w:tc>
          <w:tcPr>
            <w:tcW w:w="1562" w:type="dxa"/>
            <w:vAlign w:val="center"/>
          </w:tcPr>
          <w:p w:rsidR="00474895" w:rsidRPr="00474895" w:rsidRDefault="00474895" w:rsidP="00474895">
            <w:pPr>
              <w:rPr>
                <w:rFonts w:ascii="Garamond" w:eastAsia="Times New Roman"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Google Search</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Competition index measured from 0 (low) to 1 (very competitive)</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Comp Index (Google)</w:t>
            </w:r>
          </w:p>
        </w:tc>
        <w:tc>
          <w:tcPr>
            <w:tcW w:w="113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Q4 2018</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Evaluate the amount of competition based on Google Adwords.</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Indicator of the levels of competition compared to every other program.</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Cost per click and Competitive Index from Google.</w:t>
            </w:r>
          </w:p>
        </w:tc>
      </w:tr>
      <w:tr w:rsidR="00474895" w:rsidRPr="00474895" w:rsidTr="00474895">
        <w:trPr>
          <w:trHeight w:val="297"/>
        </w:trPr>
        <w:tc>
          <w:tcPr>
            <w:tcW w:w="1562"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Google Search</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The average cost per click for program related keywords</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Cost Per Click (Google)</w:t>
            </w:r>
          </w:p>
        </w:tc>
        <w:tc>
          <w:tcPr>
            <w:tcW w:w="113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Q4 2018</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Evaluate the cost of marketing.</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Indicator of the marketing spend of a program.</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Cost per click and Competitive Index from Google.</w:t>
            </w:r>
          </w:p>
        </w:tc>
      </w:tr>
      <w:tr w:rsidR="00474895" w:rsidRPr="00474895" w:rsidTr="00474895">
        <w:trPr>
          <w:trHeight w:val="297"/>
        </w:trPr>
        <w:tc>
          <w:tcPr>
            <w:tcW w:w="1562" w:type="dxa"/>
            <w:vAlign w:val="center"/>
          </w:tcPr>
          <w:p w:rsidR="00474895" w:rsidRPr="00474895" w:rsidRDefault="00474895" w:rsidP="00474895">
            <w:pPr>
              <w:rPr>
                <w:rFonts w:ascii="Garamond" w:eastAsia="Times New Roman"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Program Size</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The average number of completions per institution</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Average Program Size</w:t>
            </w:r>
          </w:p>
        </w:tc>
        <w:tc>
          <w:tcPr>
            <w:tcW w:w="1137" w:type="dxa"/>
            <w:vAlign w:val="center"/>
          </w:tcPr>
          <w:p w:rsidR="00474895" w:rsidRPr="00474895" w:rsidRDefault="00474895" w:rsidP="00474895">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Size-up the program size for an average program</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Best metric for estimating potential program size.</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All data calculated from IPEDS completions information, with Gray’s enhancements to program coding.</w:t>
            </w:r>
          </w:p>
        </w:tc>
      </w:tr>
      <w:tr w:rsidR="00474895" w:rsidRPr="00474895" w:rsidTr="00474895">
        <w:trPr>
          <w:trHeight w:val="297"/>
        </w:trPr>
        <w:tc>
          <w:tcPr>
            <w:tcW w:w="1562"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Program Size</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The number of completions for the median program</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Median Program Size</w:t>
            </w:r>
          </w:p>
        </w:tc>
        <w:tc>
          <w:tcPr>
            <w:tcW w:w="1137" w:type="dxa"/>
            <w:vAlign w:val="center"/>
          </w:tcPr>
          <w:p w:rsidR="00474895" w:rsidRPr="00474895" w:rsidRDefault="00474895" w:rsidP="00474895">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Size-up the program size for an average program</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Best metric for estimating potential program size.</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All data calculated from IPEDS completions information, with Gray’s enhancements to program coding.</w:t>
            </w:r>
          </w:p>
        </w:tc>
      </w:tr>
      <w:tr w:rsidR="00474895" w:rsidRPr="00474895" w:rsidTr="00474895">
        <w:trPr>
          <w:trHeight w:val="297"/>
        </w:trPr>
        <w:tc>
          <w:tcPr>
            <w:tcW w:w="1562" w:type="dxa"/>
            <w:vAlign w:val="center"/>
          </w:tcPr>
          <w:p w:rsidR="00474895" w:rsidRPr="00474895" w:rsidRDefault="00474895" w:rsidP="00474895">
            <w:pPr>
              <w:rPr>
                <w:rFonts w:ascii="Garamond" w:eastAsia="Times New Roman"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Program Size</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The year-over-year change in the number of completions for the median program</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Median Program Size Unit Change</w:t>
            </w:r>
          </w:p>
        </w:tc>
        <w:tc>
          <w:tcPr>
            <w:tcW w:w="113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2017 vs. 2016</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Indicate market saturation</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Indication of whether competing programs are growing or shrinking. Also a proxy for market saturation.</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All data calculated from IPEDS completions information, with Gray’s enhancements to program coding.</w:t>
            </w:r>
          </w:p>
        </w:tc>
      </w:tr>
      <w:tr w:rsidR="00474895" w:rsidRPr="00474895" w:rsidTr="00474895">
        <w:trPr>
          <w:trHeight w:val="297"/>
        </w:trPr>
        <w:tc>
          <w:tcPr>
            <w:tcW w:w="1562" w:type="dxa"/>
            <w:vAlign w:val="center"/>
          </w:tcPr>
          <w:p w:rsidR="00474895" w:rsidRPr="00474895" w:rsidRDefault="00474895" w:rsidP="00474895">
            <w:pPr>
              <w:rPr>
                <w:rFonts w:ascii="Garamond" w:eastAsia="Times New Roman"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Program Size</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The percentage change in the number of completions for the median program size</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Median Program Size % Change</w:t>
            </w:r>
          </w:p>
        </w:tc>
        <w:tc>
          <w:tcPr>
            <w:tcW w:w="1137" w:type="dxa"/>
            <w:vAlign w:val="center"/>
          </w:tcPr>
          <w:p w:rsidR="00474895" w:rsidRPr="00474895" w:rsidRDefault="00474895" w:rsidP="00474895">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Indicate market saturation</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Indication of whether competing programs are growing or shrinking. Also a proxy for market saturation.</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All data calculated from IPEDS completions information, with Gray’s enhancements to program coding.</w:t>
            </w:r>
          </w:p>
        </w:tc>
      </w:tr>
      <w:tr w:rsidR="00474895" w:rsidRPr="00474895" w:rsidTr="00474895">
        <w:trPr>
          <w:trHeight w:val="297"/>
        </w:trPr>
        <w:tc>
          <w:tcPr>
            <w:tcW w:w="1562" w:type="dxa"/>
            <w:vAlign w:val="center"/>
          </w:tcPr>
          <w:p w:rsidR="00474895" w:rsidRPr="00474895" w:rsidRDefault="00474895" w:rsidP="00474895">
            <w:pPr>
              <w:rPr>
                <w:rFonts w:ascii="Garamond" w:eastAsia="Times New Roman"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National Distance Education Competition</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The national number of institutions identifying their program as being offered online</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DE Institutions</w:t>
            </w:r>
          </w:p>
        </w:tc>
        <w:tc>
          <w:tcPr>
            <w:tcW w:w="1137" w:type="dxa"/>
            <w:vAlign w:val="center"/>
          </w:tcPr>
          <w:p w:rsidR="00474895" w:rsidRPr="00474895" w:rsidRDefault="00474895" w:rsidP="00474895">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Identify the modality that schools offer</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Low percentages indicate that offering the program online may not be feasible. High percentages indicate that student preference for online is particularly strong.</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All data calculated from IPEDS completions information, with Gray’s enhancements to program coding.</w:t>
            </w:r>
          </w:p>
        </w:tc>
      </w:tr>
      <w:tr w:rsidR="00474895" w:rsidRPr="00474895" w:rsidTr="00474895">
        <w:trPr>
          <w:trHeight w:val="297"/>
        </w:trPr>
        <w:tc>
          <w:tcPr>
            <w:tcW w:w="1562" w:type="dxa"/>
            <w:vAlign w:val="center"/>
          </w:tcPr>
          <w:p w:rsidR="00474895" w:rsidRPr="00474895" w:rsidRDefault="00474895" w:rsidP="00474895">
            <w:pPr>
              <w:rPr>
                <w:rFonts w:ascii="Garamond" w:eastAsia="Times New Roman"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National Distance Education Competition</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The national percentage of institutions reporting distance education completions compared to the total number of institutions</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Percent of Institutions with Distance Education</w:t>
            </w:r>
          </w:p>
        </w:tc>
        <w:tc>
          <w:tcPr>
            <w:tcW w:w="1137" w:type="dxa"/>
            <w:vAlign w:val="center"/>
          </w:tcPr>
          <w:p w:rsidR="00474895" w:rsidRPr="00474895" w:rsidRDefault="00474895" w:rsidP="00474895">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Identify the modality that schools offer</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Low percentages indicate that offering the program online may not be feasible. High percentages indicate that student preference for online is particularly strong.</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All data calculated from IPEDS completions information, with Gray’s enhancements to program coding.</w:t>
            </w:r>
          </w:p>
        </w:tc>
      </w:tr>
      <w:tr w:rsidR="00474895" w:rsidRPr="00474895" w:rsidTr="00474895">
        <w:trPr>
          <w:trHeight w:val="297"/>
        </w:trPr>
        <w:tc>
          <w:tcPr>
            <w:tcW w:w="1562" w:type="dxa"/>
            <w:vAlign w:val="center"/>
          </w:tcPr>
          <w:p w:rsidR="00474895" w:rsidRPr="00474895" w:rsidRDefault="00474895" w:rsidP="00474895">
            <w:pPr>
              <w:rPr>
                <w:rFonts w:ascii="Garamond" w:eastAsia="Times New Roman"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National Distance Education Competition</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The national total number of completions reported to distance education programs. Completions are for both online and on-ground programs</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DE Completions</w:t>
            </w:r>
          </w:p>
        </w:tc>
        <w:tc>
          <w:tcPr>
            <w:tcW w:w="1137" w:type="dxa"/>
            <w:vAlign w:val="center"/>
          </w:tcPr>
          <w:p w:rsidR="00474895" w:rsidRPr="00474895" w:rsidRDefault="00474895" w:rsidP="00474895">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Identify the modality that graduates attend</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Low percentages indicate that offering the program online may not be feasible. High percentages indicate that student preference for online is particularly strong.</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All data calculated from IPEDS completions information, with Gray’s enhancements to program coding.</w:t>
            </w:r>
          </w:p>
        </w:tc>
      </w:tr>
      <w:tr w:rsidR="00474895" w:rsidRPr="00474895" w:rsidTr="00474895">
        <w:trPr>
          <w:trHeight w:val="297"/>
        </w:trPr>
        <w:tc>
          <w:tcPr>
            <w:tcW w:w="1562" w:type="dxa"/>
            <w:vAlign w:val="center"/>
          </w:tcPr>
          <w:p w:rsidR="00474895" w:rsidRPr="00474895" w:rsidRDefault="00474895" w:rsidP="00474895">
            <w:pPr>
              <w:rPr>
                <w:rFonts w:ascii="Garamond" w:eastAsia="Times New Roman" w:hAnsi="Garamond" w:cs="Arial"/>
                <w:color w:val="363636"/>
                <w:sz w:val="20"/>
                <w:szCs w:val="20"/>
              </w:rPr>
            </w:pPr>
            <w:r w:rsidRPr="00474895">
              <w:rPr>
                <w:rFonts w:ascii="Garamond" w:hAnsi="Garamond" w:cs="Arial"/>
                <w:color w:val="363636"/>
                <w:sz w:val="20"/>
                <w:szCs w:val="20"/>
              </w:rPr>
              <w:t>Competitive Intensity</w:t>
            </w:r>
          </w:p>
        </w:tc>
        <w:tc>
          <w:tcPr>
            <w:tcW w:w="1576"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National Distance Education Competition</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The national percentage of completions reported to distance education programs compared to the total number of completions</w:t>
            </w:r>
          </w:p>
        </w:tc>
        <w:tc>
          <w:tcPr>
            <w:tcW w:w="163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Percent Distance Education Completions</w:t>
            </w:r>
          </w:p>
        </w:tc>
        <w:tc>
          <w:tcPr>
            <w:tcW w:w="1137" w:type="dxa"/>
            <w:vAlign w:val="center"/>
          </w:tcPr>
          <w:p w:rsidR="00474895" w:rsidRPr="00474895" w:rsidRDefault="00474895" w:rsidP="00474895">
            <w:pPr>
              <w:jc w:val="right"/>
              <w:rPr>
                <w:rFonts w:ascii="Garamond" w:hAnsi="Garamond" w:cs="Arial"/>
                <w:color w:val="363636"/>
                <w:sz w:val="20"/>
                <w:szCs w:val="20"/>
              </w:rPr>
            </w:pPr>
            <w:r w:rsidRPr="00474895">
              <w:rPr>
                <w:rFonts w:ascii="Garamond" w:hAnsi="Garamond" w:cs="Arial"/>
                <w:color w:val="363636"/>
                <w:sz w:val="20"/>
                <w:szCs w:val="20"/>
              </w:rPr>
              <w:t>2017</w:t>
            </w:r>
          </w:p>
        </w:tc>
        <w:tc>
          <w:tcPr>
            <w:tcW w:w="1747"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Identify the modality that graduates attend</w:t>
            </w:r>
          </w:p>
        </w:tc>
        <w:tc>
          <w:tcPr>
            <w:tcW w:w="1619"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Low percentages indicate that offering the program online may not be feasible. High percentages indicate that student preference for online is particularly strong.</w:t>
            </w:r>
          </w:p>
        </w:tc>
        <w:tc>
          <w:tcPr>
            <w:tcW w:w="2043" w:type="dxa"/>
            <w:vAlign w:val="center"/>
          </w:tcPr>
          <w:p w:rsidR="00474895" w:rsidRPr="00474895" w:rsidRDefault="00474895" w:rsidP="00474895">
            <w:pPr>
              <w:rPr>
                <w:rFonts w:ascii="Garamond" w:hAnsi="Garamond" w:cs="Arial"/>
                <w:color w:val="363636"/>
                <w:sz w:val="20"/>
                <w:szCs w:val="20"/>
              </w:rPr>
            </w:pPr>
            <w:r w:rsidRPr="00474895">
              <w:rPr>
                <w:rFonts w:ascii="Garamond" w:hAnsi="Garamond" w:cs="Arial"/>
                <w:color w:val="363636"/>
                <w:sz w:val="20"/>
                <w:szCs w:val="20"/>
              </w:rPr>
              <w:t>All data calculated from IPEDS completions information, with Gray’s enhancements to program coding.</w:t>
            </w:r>
          </w:p>
        </w:tc>
      </w:tr>
      <w:tr w:rsidR="00474895" w:rsidRPr="00474895" w:rsidTr="00474895">
        <w:trPr>
          <w:trHeight w:val="297"/>
        </w:trPr>
        <w:tc>
          <w:tcPr>
            <w:tcW w:w="1562" w:type="dxa"/>
            <w:vAlign w:val="center"/>
          </w:tcPr>
          <w:p w:rsidR="00474895" w:rsidRPr="00474895" w:rsidRDefault="00474895" w:rsidP="0089188F">
            <w:pPr>
              <w:rPr>
                <w:rFonts w:ascii="Garamond" w:eastAsia="Times New Roman" w:hAnsi="Garamond" w:cs="Arial"/>
                <w:color w:val="363636"/>
                <w:sz w:val="20"/>
                <w:szCs w:val="20"/>
              </w:rPr>
            </w:pPr>
          </w:p>
        </w:tc>
        <w:tc>
          <w:tcPr>
            <w:tcW w:w="1576" w:type="dxa"/>
            <w:vAlign w:val="center"/>
          </w:tcPr>
          <w:p w:rsidR="00474895" w:rsidRPr="00474895" w:rsidRDefault="00474895" w:rsidP="0089188F">
            <w:pPr>
              <w:rPr>
                <w:rFonts w:ascii="Garamond" w:hAnsi="Garamond" w:cs="Arial"/>
                <w:color w:val="363636"/>
                <w:sz w:val="20"/>
                <w:szCs w:val="20"/>
              </w:rPr>
            </w:pPr>
          </w:p>
        </w:tc>
        <w:tc>
          <w:tcPr>
            <w:tcW w:w="1633" w:type="dxa"/>
            <w:vAlign w:val="center"/>
          </w:tcPr>
          <w:p w:rsidR="00474895" w:rsidRPr="00474895" w:rsidRDefault="00474895" w:rsidP="0089188F">
            <w:pPr>
              <w:rPr>
                <w:rFonts w:ascii="Garamond" w:hAnsi="Garamond" w:cs="Arial"/>
                <w:color w:val="363636"/>
                <w:sz w:val="20"/>
                <w:szCs w:val="20"/>
              </w:rPr>
            </w:pPr>
          </w:p>
        </w:tc>
        <w:tc>
          <w:tcPr>
            <w:tcW w:w="1633" w:type="dxa"/>
            <w:vAlign w:val="center"/>
          </w:tcPr>
          <w:p w:rsidR="00474895" w:rsidRPr="00474895" w:rsidRDefault="00474895" w:rsidP="0089188F">
            <w:pPr>
              <w:rPr>
                <w:rFonts w:ascii="Garamond" w:hAnsi="Garamond" w:cs="Arial"/>
                <w:color w:val="363636"/>
                <w:sz w:val="20"/>
                <w:szCs w:val="20"/>
              </w:rPr>
            </w:pPr>
          </w:p>
        </w:tc>
        <w:tc>
          <w:tcPr>
            <w:tcW w:w="1137" w:type="dxa"/>
            <w:vAlign w:val="center"/>
          </w:tcPr>
          <w:p w:rsidR="00474895" w:rsidRPr="00474895" w:rsidRDefault="00474895" w:rsidP="0089188F">
            <w:pPr>
              <w:jc w:val="right"/>
              <w:rPr>
                <w:rFonts w:ascii="Garamond" w:hAnsi="Garamond" w:cs="Arial"/>
                <w:color w:val="363636"/>
                <w:sz w:val="20"/>
                <w:szCs w:val="20"/>
              </w:rPr>
            </w:pPr>
          </w:p>
        </w:tc>
        <w:tc>
          <w:tcPr>
            <w:tcW w:w="1747" w:type="dxa"/>
            <w:vAlign w:val="center"/>
          </w:tcPr>
          <w:p w:rsidR="00474895" w:rsidRPr="00474895" w:rsidRDefault="00474895" w:rsidP="0089188F">
            <w:pPr>
              <w:rPr>
                <w:rFonts w:ascii="Garamond" w:hAnsi="Garamond" w:cs="Arial"/>
                <w:color w:val="363636"/>
                <w:sz w:val="20"/>
                <w:szCs w:val="20"/>
              </w:rPr>
            </w:pPr>
          </w:p>
        </w:tc>
        <w:tc>
          <w:tcPr>
            <w:tcW w:w="1619" w:type="dxa"/>
            <w:vAlign w:val="center"/>
          </w:tcPr>
          <w:p w:rsidR="00474895" w:rsidRPr="00474895" w:rsidRDefault="00474895" w:rsidP="0089188F">
            <w:pPr>
              <w:rPr>
                <w:rFonts w:ascii="Garamond" w:hAnsi="Garamond" w:cs="Arial"/>
                <w:color w:val="363636"/>
                <w:sz w:val="20"/>
                <w:szCs w:val="20"/>
              </w:rPr>
            </w:pPr>
          </w:p>
        </w:tc>
        <w:tc>
          <w:tcPr>
            <w:tcW w:w="2043" w:type="dxa"/>
            <w:vAlign w:val="center"/>
          </w:tcPr>
          <w:p w:rsidR="00474895" w:rsidRPr="00474895" w:rsidRDefault="00474895" w:rsidP="0089188F">
            <w:pPr>
              <w:rPr>
                <w:rFonts w:ascii="Garamond" w:hAnsi="Garamond" w:cs="Arial"/>
                <w:color w:val="363636"/>
                <w:sz w:val="20"/>
                <w:szCs w:val="20"/>
              </w:rPr>
            </w:pPr>
          </w:p>
        </w:tc>
      </w:tr>
      <w:tr w:rsidR="00474895" w:rsidRPr="00474895" w:rsidTr="00474895">
        <w:trPr>
          <w:trHeight w:val="297"/>
        </w:trPr>
        <w:tc>
          <w:tcPr>
            <w:tcW w:w="1562" w:type="dxa"/>
            <w:vAlign w:val="center"/>
          </w:tcPr>
          <w:p w:rsidR="00474895" w:rsidRPr="00474895" w:rsidRDefault="00474895" w:rsidP="0089188F">
            <w:pPr>
              <w:rPr>
                <w:rFonts w:ascii="Garamond" w:eastAsia="Times New Roman" w:hAnsi="Garamond" w:cs="Arial"/>
                <w:color w:val="363636"/>
                <w:sz w:val="20"/>
                <w:szCs w:val="20"/>
              </w:rPr>
            </w:pPr>
          </w:p>
        </w:tc>
        <w:tc>
          <w:tcPr>
            <w:tcW w:w="1576" w:type="dxa"/>
            <w:vAlign w:val="center"/>
          </w:tcPr>
          <w:p w:rsidR="00474895" w:rsidRPr="00474895" w:rsidRDefault="00474895" w:rsidP="0089188F">
            <w:pPr>
              <w:rPr>
                <w:rFonts w:ascii="Garamond" w:hAnsi="Garamond" w:cs="Arial"/>
                <w:color w:val="363636"/>
                <w:sz w:val="20"/>
                <w:szCs w:val="20"/>
              </w:rPr>
            </w:pPr>
          </w:p>
        </w:tc>
        <w:tc>
          <w:tcPr>
            <w:tcW w:w="1633" w:type="dxa"/>
            <w:vAlign w:val="center"/>
          </w:tcPr>
          <w:p w:rsidR="00474895" w:rsidRPr="00474895" w:rsidRDefault="00474895" w:rsidP="0089188F">
            <w:pPr>
              <w:rPr>
                <w:rFonts w:ascii="Garamond" w:hAnsi="Garamond" w:cs="Arial"/>
                <w:color w:val="363636"/>
                <w:sz w:val="20"/>
                <w:szCs w:val="20"/>
              </w:rPr>
            </w:pPr>
          </w:p>
        </w:tc>
        <w:tc>
          <w:tcPr>
            <w:tcW w:w="1633" w:type="dxa"/>
            <w:vAlign w:val="center"/>
          </w:tcPr>
          <w:p w:rsidR="00474895" w:rsidRPr="00474895" w:rsidRDefault="00474895" w:rsidP="0089188F">
            <w:pPr>
              <w:rPr>
                <w:rFonts w:ascii="Garamond" w:hAnsi="Garamond" w:cs="Arial"/>
                <w:color w:val="363636"/>
                <w:sz w:val="20"/>
                <w:szCs w:val="20"/>
              </w:rPr>
            </w:pPr>
          </w:p>
        </w:tc>
        <w:tc>
          <w:tcPr>
            <w:tcW w:w="1137" w:type="dxa"/>
            <w:vAlign w:val="center"/>
          </w:tcPr>
          <w:p w:rsidR="00474895" w:rsidRPr="00474895" w:rsidRDefault="00474895" w:rsidP="0089188F">
            <w:pPr>
              <w:jc w:val="right"/>
              <w:rPr>
                <w:rFonts w:ascii="Garamond" w:hAnsi="Garamond" w:cs="Arial"/>
                <w:color w:val="363636"/>
                <w:sz w:val="20"/>
                <w:szCs w:val="20"/>
              </w:rPr>
            </w:pPr>
          </w:p>
        </w:tc>
        <w:tc>
          <w:tcPr>
            <w:tcW w:w="1747" w:type="dxa"/>
            <w:vAlign w:val="center"/>
          </w:tcPr>
          <w:p w:rsidR="00474895" w:rsidRPr="00474895" w:rsidRDefault="00474895" w:rsidP="0089188F">
            <w:pPr>
              <w:rPr>
                <w:rFonts w:ascii="Garamond" w:hAnsi="Garamond" w:cs="Arial"/>
                <w:color w:val="363636"/>
                <w:sz w:val="20"/>
                <w:szCs w:val="20"/>
              </w:rPr>
            </w:pPr>
          </w:p>
        </w:tc>
        <w:tc>
          <w:tcPr>
            <w:tcW w:w="1619" w:type="dxa"/>
            <w:vAlign w:val="center"/>
          </w:tcPr>
          <w:p w:rsidR="00474895" w:rsidRPr="00474895" w:rsidRDefault="00474895" w:rsidP="0089188F">
            <w:pPr>
              <w:rPr>
                <w:rFonts w:ascii="Garamond" w:hAnsi="Garamond" w:cs="Arial"/>
                <w:color w:val="363636"/>
                <w:sz w:val="20"/>
                <w:szCs w:val="20"/>
              </w:rPr>
            </w:pPr>
          </w:p>
        </w:tc>
        <w:tc>
          <w:tcPr>
            <w:tcW w:w="2043" w:type="dxa"/>
            <w:vAlign w:val="center"/>
          </w:tcPr>
          <w:p w:rsidR="00474895" w:rsidRPr="00474895" w:rsidRDefault="00474895" w:rsidP="0089188F">
            <w:pPr>
              <w:rPr>
                <w:rFonts w:ascii="Garamond" w:hAnsi="Garamond" w:cs="Arial"/>
                <w:color w:val="363636"/>
                <w:sz w:val="20"/>
                <w:szCs w:val="20"/>
              </w:rPr>
            </w:pPr>
          </w:p>
        </w:tc>
      </w:tr>
    </w:tbl>
    <w:p w:rsidR="009D6786" w:rsidRPr="00474895" w:rsidRDefault="009D6786">
      <w:pPr>
        <w:rPr>
          <w:rFonts w:ascii="Garamond" w:hAnsi="Garamond"/>
          <w:sz w:val="20"/>
          <w:szCs w:val="20"/>
        </w:rPr>
      </w:pPr>
    </w:p>
    <w:sectPr w:rsidR="009D6786" w:rsidRPr="00474895" w:rsidSect="00A221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59"/>
    <w:rsid w:val="00004D23"/>
    <w:rsid w:val="0044662D"/>
    <w:rsid w:val="00474895"/>
    <w:rsid w:val="004A4746"/>
    <w:rsid w:val="005A4CD1"/>
    <w:rsid w:val="0080616F"/>
    <w:rsid w:val="009D6786"/>
    <w:rsid w:val="00A0710E"/>
    <w:rsid w:val="00A22159"/>
    <w:rsid w:val="00B03A04"/>
    <w:rsid w:val="00B72030"/>
    <w:rsid w:val="00C37DDE"/>
    <w:rsid w:val="00D92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7AC84C58-E22D-8B42-BE33-AE0077B06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359276">
      <w:bodyDiv w:val="1"/>
      <w:marLeft w:val="0"/>
      <w:marRight w:val="0"/>
      <w:marTop w:val="0"/>
      <w:marBottom w:val="0"/>
      <w:divBdr>
        <w:top w:val="none" w:sz="0" w:space="0" w:color="auto"/>
        <w:left w:val="none" w:sz="0" w:space="0" w:color="auto"/>
        <w:bottom w:val="none" w:sz="0" w:space="0" w:color="auto"/>
        <w:right w:val="none" w:sz="0" w:space="0" w:color="auto"/>
      </w:divBdr>
    </w:div>
    <w:div w:id="576791000">
      <w:bodyDiv w:val="1"/>
      <w:marLeft w:val="0"/>
      <w:marRight w:val="0"/>
      <w:marTop w:val="0"/>
      <w:marBottom w:val="0"/>
      <w:divBdr>
        <w:top w:val="none" w:sz="0" w:space="0" w:color="auto"/>
        <w:left w:val="none" w:sz="0" w:space="0" w:color="auto"/>
        <w:bottom w:val="none" w:sz="0" w:space="0" w:color="auto"/>
        <w:right w:val="none" w:sz="0" w:space="0" w:color="auto"/>
      </w:divBdr>
    </w:div>
    <w:div w:id="872428783">
      <w:bodyDiv w:val="1"/>
      <w:marLeft w:val="0"/>
      <w:marRight w:val="0"/>
      <w:marTop w:val="0"/>
      <w:marBottom w:val="0"/>
      <w:divBdr>
        <w:top w:val="none" w:sz="0" w:space="0" w:color="auto"/>
        <w:left w:val="none" w:sz="0" w:space="0" w:color="auto"/>
        <w:bottom w:val="none" w:sz="0" w:space="0" w:color="auto"/>
        <w:right w:val="none" w:sz="0" w:space="0" w:color="auto"/>
      </w:divBdr>
    </w:div>
    <w:div w:id="191569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3572</Words>
  <Characters>20361</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Howard</dc:creator>
  <cp:keywords/>
  <dc:description/>
  <cp:lastModifiedBy>Susan Malone</cp:lastModifiedBy>
  <cp:revision>2</cp:revision>
  <dcterms:created xsi:type="dcterms:W3CDTF">2019-09-26T16:18:00Z</dcterms:created>
  <dcterms:modified xsi:type="dcterms:W3CDTF">2019-09-26T16:18:00Z</dcterms:modified>
</cp:coreProperties>
</file>