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6A76" w14:textId="2660B288" w:rsidR="006D0BF2" w:rsidRDefault="006D0BF2" w:rsidP="00212D7A">
      <w:pPr>
        <w:pStyle w:val="Heading1"/>
      </w:pPr>
    </w:p>
    <w:p w14:paraId="67592ED3" w14:textId="77777777" w:rsidR="004B2DDE" w:rsidRDefault="004B2DDE" w:rsidP="004B2DDE">
      <w:pPr>
        <w:pStyle w:val="NormalWeb"/>
        <w:shd w:val="clear" w:color="auto" w:fill="FFFFFF"/>
      </w:pPr>
      <w:r w:rsidRPr="004B2DDE">
        <w:t>Gray Program Evaluation System (PES)</w:t>
      </w:r>
      <w:r>
        <w:t xml:space="preserve">: </w:t>
      </w:r>
    </w:p>
    <w:p w14:paraId="208AE9C1" w14:textId="278CFD0E" w:rsidR="004B2DDE" w:rsidRPr="004B2DDE" w:rsidRDefault="004B2DDE" w:rsidP="004B2DDE">
      <w:pPr>
        <w:pStyle w:val="NormalWeb"/>
        <w:numPr>
          <w:ilvl w:val="0"/>
          <w:numId w:val="1"/>
        </w:numPr>
        <w:shd w:val="clear" w:color="auto" w:fill="FFFFFF"/>
        <w:spacing w:before="0" w:beforeAutospacing="0" w:after="0" w:afterAutospacing="0"/>
      </w:pPr>
      <w:r>
        <w:rPr>
          <w:rFonts w:ascii="CMSS10" w:hAnsi="CMSS10"/>
          <w:sz w:val="22"/>
          <w:szCs w:val="22"/>
        </w:rPr>
        <w:t xml:space="preserve">Database on academic market drivers including inquiries, applications, demographics, competition, job openings, job postings, and placement rates. </w:t>
      </w:r>
    </w:p>
    <w:p w14:paraId="69D063C3" w14:textId="41CB3781" w:rsidR="004B2DDE" w:rsidRDefault="004B2DDE" w:rsidP="004B2DDE">
      <w:pPr>
        <w:pStyle w:val="NormalWeb"/>
        <w:numPr>
          <w:ilvl w:val="0"/>
          <w:numId w:val="1"/>
        </w:numPr>
        <w:shd w:val="clear" w:color="auto" w:fill="FFFFFF"/>
        <w:spacing w:before="0" w:beforeAutospacing="0" w:after="0" w:afterAutospacing="0"/>
      </w:pPr>
      <w:r>
        <w:rPr>
          <w:rFonts w:ascii="CMSS10" w:hAnsi="CMSS10"/>
          <w:sz w:val="22"/>
          <w:szCs w:val="22"/>
        </w:rPr>
        <w:t xml:space="preserve">Scored potentiality of all IPEDS programs for each individual local market using data on student demand, competitive intensity, and job opportunities. </w:t>
      </w:r>
    </w:p>
    <w:p w14:paraId="66D4CE83" w14:textId="44535CE5" w:rsidR="004B2DDE" w:rsidRDefault="004B2DDE" w:rsidP="004B2DDE">
      <w:pPr>
        <w:pStyle w:val="NormalWeb"/>
        <w:numPr>
          <w:ilvl w:val="0"/>
          <w:numId w:val="1"/>
        </w:numPr>
        <w:shd w:val="clear" w:color="auto" w:fill="FFFFFF"/>
        <w:spacing w:before="0" w:beforeAutospacing="0" w:after="0" w:afterAutospacing="0"/>
      </w:pPr>
      <w:r>
        <w:t>Identified Markets for Mercer</w:t>
      </w:r>
    </w:p>
    <w:p w14:paraId="0622563C" w14:textId="77777777" w:rsidR="004B2DDE" w:rsidRPr="004B2DDE" w:rsidRDefault="004B2DDE" w:rsidP="004B2DDE">
      <w:pPr>
        <w:pStyle w:val="NormalWeb"/>
        <w:numPr>
          <w:ilvl w:val="1"/>
          <w:numId w:val="1"/>
        </w:numPr>
        <w:shd w:val="clear" w:color="auto" w:fill="FFFFFF"/>
        <w:spacing w:before="0" w:beforeAutospacing="0" w:after="0" w:afterAutospacing="0"/>
      </w:pPr>
      <w:r>
        <w:rPr>
          <w:rFonts w:ascii="CMSS10" w:hAnsi="CMSS10"/>
          <w:sz w:val="22"/>
          <w:szCs w:val="22"/>
        </w:rPr>
        <w:t xml:space="preserve">Atlanta 50-mile radius </w:t>
      </w:r>
    </w:p>
    <w:p w14:paraId="7E0889BA" w14:textId="77777777" w:rsidR="004B2DDE" w:rsidRPr="004B2DDE" w:rsidRDefault="004B2DDE" w:rsidP="004B2DDE">
      <w:pPr>
        <w:pStyle w:val="NormalWeb"/>
        <w:numPr>
          <w:ilvl w:val="1"/>
          <w:numId w:val="1"/>
        </w:numPr>
        <w:shd w:val="clear" w:color="auto" w:fill="FFFFFF"/>
        <w:spacing w:before="0" w:beforeAutospacing="0" w:after="0" w:afterAutospacing="0"/>
      </w:pPr>
      <w:r>
        <w:rPr>
          <w:rFonts w:ascii="CMSS10" w:hAnsi="CMSS10"/>
          <w:sz w:val="22"/>
          <w:szCs w:val="22"/>
        </w:rPr>
        <w:t xml:space="preserve">Macon 200-mile radius </w:t>
      </w:r>
    </w:p>
    <w:p w14:paraId="04D8FBF4" w14:textId="77777777" w:rsidR="004B2DDE" w:rsidRPr="004B2DDE" w:rsidRDefault="004B2DDE" w:rsidP="004B2DDE">
      <w:pPr>
        <w:pStyle w:val="NormalWeb"/>
        <w:numPr>
          <w:ilvl w:val="1"/>
          <w:numId w:val="1"/>
        </w:numPr>
        <w:shd w:val="clear" w:color="auto" w:fill="FFFFFF"/>
        <w:spacing w:before="0" w:beforeAutospacing="0" w:after="0" w:afterAutospacing="0"/>
      </w:pPr>
      <w:r>
        <w:rPr>
          <w:rFonts w:ascii="CMSS10" w:hAnsi="CMSS10"/>
          <w:sz w:val="22"/>
          <w:szCs w:val="22"/>
        </w:rPr>
        <w:t xml:space="preserve">State of Georgia </w:t>
      </w:r>
    </w:p>
    <w:p w14:paraId="11702F6D" w14:textId="6C0469FB" w:rsidR="004B2DDE" w:rsidRPr="004B2DDE" w:rsidRDefault="004B2DDE" w:rsidP="004B2DDE">
      <w:pPr>
        <w:pStyle w:val="NormalWeb"/>
        <w:numPr>
          <w:ilvl w:val="1"/>
          <w:numId w:val="1"/>
        </w:numPr>
        <w:shd w:val="clear" w:color="auto" w:fill="FFFFFF"/>
        <w:spacing w:before="0" w:beforeAutospacing="0" w:after="0" w:afterAutospacing="0"/>
      </w:pPr>
      <w:r>
        <w:rPr>
          <w:rFonts w:ascii="CMSS10" w:hAnsi="CMSS10"/>
          <w:sz w:val="22"/>
          <w:szCs w:val="22"/>
        </w:rPr>
        <w:t>Southeast Region (GA, TN, NC, SC, AL, FL, TX East of San Antonio)</w:t>
      </w:r>
    </w:p>
    <w:p w14:paraId="67E4E06B" w14:textId="23910208" w:rsidR="004B2DDE" w:rsidRDefault="004B2DDE" w:rsidP="004B2DDE">
      <w:pPr>
        <w:pStyle w:val="NormalWeb"/>
        <w:numPr>
          <w:ilvl w:val="1"/>
          <w:numId w:val="1"/>
        </w:numPr>
        <w:shd w:val="clear" w:color="auto" w:fill="FFFFFF"/>
        <w:spacing w:before="0" w:beforeAutospacing="0" w:after="0" w:afterAutospacing="0"/>
      </w:pPr>
      <w:r>
        <w:rPr>
          <w:rFonts w:ascii="CMSS10" w:hAnsi="CMSS10"/>
          <w:sz w:val="22"/>
          <w:szCs w:val="22"/>
        </w:rPr>
        <w:t xml:space="preserve">National (online) </w:t>
      </w:r>
    </w:p>
    <w:p w14:paraId="0D07B5F7" w14:textId="2254238C" w:rsidR="004B2DDE" w:rsidRDefault="004B2DDE" w:rsidP="004B2DDE">
      <w:pPr>
        <w:pStyle w:val="NormalWeb"/>
        <w:numPr>
          <w:ilvl w:val="0"/>
          <w:numId w:val="1"/>
        </w:numPr>
        <w:shd w:val="clear" w:color="auto" w:fill="FFFFFF"/>
        <w:spacing w:before="0" w:beforeAutospacing="0" w:after="0" w:afterAutospacing="0"/>
      </w:pPr>
      <w:r>
        <w:t xml:space="preserve">Major Categories </w:t>
      </w:r>
    </w:p>
    <w:p w14:paraId="728BDFF5" w14:textId="04BD1066" w:rsidR="00CE0218" w:rsidRPr="00CE0218" w:rsidRDefault="004B2DDE" w:rsidP="004B2DDE">
      <w:pPr>
        <w:pStyle w:val="NormalWeb"/>
        <w:numPr>
          <w:ilvl w:val="1"/>
          <w:numId w:val="1"/>
        </w:numPr>
        <w:shd w:val="clear" w:color="auto" w:fill="FFFFFF"/>
      </w:pPr>
      <w:r>
        <w:rPr>
          <w:rFonts w:ascii="CMSSBX10" w:hAnsi="CMSSBX10"/>
          <w:sz w:val="22"/>
          <w:szCs w:val="22"/>
        </w:rPr>
        <w:t xml:space="preserve">Student Demand </w:t>
      </w:r>
    </w:p>
    <w:p w14:paraId="1F720090" w14:textId="642ABBD2" w:rsidR="00CE0218" w:rsidRPr="00CE0218" w:rsidRDefault="004B2DDE" w:rsidP="00CE0218">
      <w:pPr>
        <w:pStyle w:val="NormalWeb"/>
        <w:numPr>
          <w:ilvl w:val="2"/>
          <w:numId w:val="1"/>
        </w:numPr>
        <w:shd w:val="clear" w:color="auto" w:fill="FFFFFF"/>
        <w:rPr>
          <w:i/>
        </w:rPr>
      </w:pPr>
      <w:r>
        <w:rPr>
          <w:rFonts w:ascii="CMSS10" w:hAnsi="CMSS10"/>
          <w:sz w:val="22"/>
          <w:szCs w:val="22"/>
        </w:rPr>
        <w:t>student inquiries</w:t>
      </w:r>
      <w:r w:rsidR="00CE0218">
        <w:rPr>
          <w:rFonts w:ascii="CMSS10" w:hAnsi="CMSS10"/>
          <w:sz w:val="22"/>
          <w:szCs w:val="22"/>
        </w:rPr>
        <w:t xml:space="preserve">– size and trends in demand by program; </w:t>
      </w:r>
      <w:r w:rsidR="00CE0218" w:rsidRPr="00CE0218">
        <w:rPr>
          <w:rFonts w:ascii="CMSS10" w:hAnsi="CMSS10"/>
          <w:i/>
          <w:sz w:val="22"/>
          <w:szCs w:val="22"/>
        </w:rPr>
        <w:t>weak current indicator</w:t>
      </w:r>
    </w:p>
    <w:p w14:paraId="2AC83814" w14:textId="3FEDDB95" w:rsidR="004B2DDE" w:rsidRPr="00CE0218" w:rsidRDefault="004B2DDE" w:rsidP="00CE0218">
      <w:pPr>
        <w:pStyle w:val="NormalWeb"/>
        <w:numPr>
          <w:ilvl w:val="2"/>
          <w:numId w:val="1"/>
        </w:numPr>
        <w:shd w:val="clear" w:color="auto" w:fill="FFFFFF"/>
      </w:pPr>
      <w:r>
        <w:rPr>
          <w:rFonts w:ascii="CMSS10" w:hAnsi="CMSS10"/>
          <w:sz w:val="22"/>
          <w:szCs w:val="22"/>
        </w:rPr>
        <w:t>completions</w:t>
      </w:r>
      <w:r w:rsidR="00CE0218">
        <w:rPr>
          <w:rFonts w:ascii="CMSS10" w:hAnsi="CMSS10"/>
          <w:sz w:val="22"/>
          <w:szCs w:val="22"/>
        </w:rPr>
        <w:t xml:space="preserve"> – program size and YoY growth; </w:t>
      </w:r>
      <w:r w:rsidR="00CE0218">
        <w:rPr>
          <w:rFonts w:ascii="CMSS10" w:hAnsi="CMSS10"/>
          <w:i/>
          <w:sz w:val="22"/>
          <w:szCs w:val="22"/>
        </w:rPr>
        <w:t>s</w:t>
      </w:r>
      <w:r w:rsidR="00CE0218" w:rsidRPr="00CE0218">
        <w:rPr>
          <w:rFonts w:ascii="CMSS10" w:hAnsi="CMSS10"/>
          <w:i/>
          <w:sz w:val="22"/>
          <w:szCs w:val="22"/>
        </w:rPr>
        <w:t>trong lagging indicator</w:t>
      </w:r>
    </w:p>
    <w:p w14:paraId="230DC97C" w14:textId="18DD817B" w:rsidR="00CE0218" w:rsidRPr="006A6E73" w:rsidRDefault="00CE0218" w:rsidP="00CE0218">
      <w:pPr>
        <w:pStyle w:val="NormalWeb"/>
        <w:numPr>
          <w:ilvl w:val="2"/>
          <w:numId w:val="1"/>
        </w:numPr>
        <w:shd w:val="clear" w:color="auto" w:fill="FFFFFF"/>
        <w:rPr>
          <w:i/>
        </w:rPr>
      </w:pPr>
      <w:r>
        <w:t xml:space="preserve">Google search – Google searches on top 25 keywords for largest 200 programs; </w:t>
      </w:r>
      <w:r w:rsidRPr="006A6E73">
        <w:rPr>
          <w:i/>
        </w:rPr>
        <w:t xml:space="preserve">current indicator limited to larger programs. </w:t>
      </w:r>
    </w:p>
    <w:p w14:paraId="25C41F29" w14:textId="77777777" w:rsidR="006A6E73" w:rsidRPr="006A6E73" w:rsidRDefault="004B2DDE" w:rsidP="004B2DDE">
      <w:pPr>
        <w:pStyle w:val="NormalWeb"/>
        <w:numPr>
          <w:ilvl w:val="1"/>
          <w:numId w:val="1"/>
        </w:numPr>
        <w:shd w:val="clear" w:color="auto" w:fill="FFFFFF"/>
      </w:pPr>
      <w:r>
        <w:rPr>
          <w:rFonts w:ascii="CMSSBX10" w:hAnsi="CMSSBX10"/>
          <w:sz w:val="22"/>
          <w:szCs w:val="22"/>
        </w:rPr>
        <w:t xml:space="preserve">Employment </w:t>
      </w:r>
    </w:p>
    <w:p w14:paraId="10DFAC4D" w14:textId="77777777" w:rsidR="006A6E73" w:rsidRPr="006A6E73" w:rsidRDefault="006A6E73" w:rsidP="006A6E73">
      <w:pPr>
        <w:pStyle w:val="NormalWeb"/>
        <w:numPr>
          <w:ilvl w:val="2"/>
          <w:numId w:val="1"/>
        </w:numPr>
        <w:shd w:val="clear" w:color="auto" w:fill="FFFFFF"/>
      </w:pPr>
      <w:r>
        <w:rPr>
          <w:rFonts w:ascii="CMSS10" w:hAnsi="CMSS10"/>
          <w:sz w:val="22"/>
          <w:szCs w:val="22"/>
        </w:rPr>
        <w:t xml:space="preserve">Employment </w:t>
      </w:r>
    </w:p>
    <w:p w14:paraId="01102740" w14:textId="77777777" w:rsidR="006A6E73" w:rsidRPr="006A6E73" w:rsidRDefault="006A6E73" w:rsidP="006A6E73">
      <w:pPr>
        <w:pStyle w:val="NormalWeb"/>
        <w:numPr>
          <w:ilvl w:val="2"/>
          <w:numId w:val="1"/>
        </w:numPr>
        <w:shd w:val="clear" w:color="auto" w:fill="FFFFFF"/>
      </w:pPr>
      <w:r>
        <w:rPr>
          <w:rFonts w:ascii="CMSS10" w:hAnsi="CMSS10"/>
          <w:sz w:val="22"/>
          <w:szCs w:val="22"/>
        </w:rPr>
        <w:t xml:space="preserve">Job Openings (Growth) </w:t>
      </w:r>
    </w:p>
    <w:p w14:paraId="6DE9FBAB" w14:textId="00FDF653" w:rsidR="006A6E73" w:rsidRPr="006A6E73" w:rsidRDefault="006A6E73" w:rsidP="006A6E73">
      <w:pPr>
        <w:pStyle w:val="NormalWeb"/>
        <w:numPr>
          <w:ilvl w:val="2"/>
          <w:numId w:val="1"/>
        </w:numPr>
        <w:shd w:val="clear" w:color="auto" w:fill="FFFFFF"/>
      </w:pPr>
      <w:r>
        <w:rPr>
          <w:rFonts w:ascii="CMSS10" w:hAnsi="CMSS10"/>
          <w:sz w:val="22"/>
          <w:szCs w:val="22"/>
        </w:rPr>
        <w:t>Wages</w:t>
      </w:r>
    </w:p>
    <w:p w14:paraId="5E1C1621" w14:textId="0F4CAED2" w:rsidR="004B2DDE" w:rsidRDefault="006A6E73" w:rsidP="006A6E73">
      <w:pPr>
        <w:pStyle w:val="NormalWeb"/>
        <w:numPr>
          <w:ilvl w:val="2"/>
          <w:numId w:val="1"/>
        </w:numPr>
        <w:shd w:val="clear" w:color="auto" w:fill="FFFFFF"/>
      </w:pPr>
      <w:r>
        <w:rPr>
          <w:rFonts w:ascii="CMSS10" w:hAnsi="CMSS10"/>
          <w:sz w:val="22"/>
          <w:szCs w:val="22"/>
        </w:rPr>
        <w:t>Postings (Postings per Graduate)</w:t>
      </w:r>
      <w:r w:rsidR="004B2DDE">
        <w:rPr>
          <w:rFonts w:ascii="CMSS10" w:hAnsi="CMSS10"/>
          <w:sz w:val="22"/>
          <w:szCs w:val="22"/>
        </w:rPr>
        <w:t xml:space="preserve"> </w:t>
      </w:r>
    </w:p>
    <w:p w14:paraId="16BC0A2F" w14:textId="77777777" w:rsidR="006A6E73" w:rsidRPr="006A6E73" w:rsidRDefault="004B2DDE" w:rsidP="004B2DDE">
      <w:pPr>
        <w:pStyle w:val="NormalWeb"/>
        <w:numPr>
          <w:ilvl w:val="1"/>
          <w:numId w:val="1"/>
        </w:numPr>
        <w:shd w:val="clear" w:color="auto" w:fill="FFFFFF"/>
      </w:pPr>
      <w:r>
        <w:rPr>
          <w:rFonts w:ascii="CMSSBX10" w:hAnsi="CMSSBX10"/>
          <w:sz w:val="22"/>
          <w:szCs w:val="22"/>
        </w:rPr>
        <w:t>Competitive Intensity</w:t>
      </w:r>
      <w:r w:rsidR="006A6E73">
        <w:rPr>
          <w:rFonts w:ascii="CMSSBX10" w:hAnsi="CMSSBX10"/>
          <w:sz w:val="22"/>
          <w:szCs w:val="22"/>
        </w:rPr>
        <w:t xml:space="preserve"> </w:t>
      </w:r>
    </w:p>
    <w:p w14:paraId="47EE6F14" w14:textId="77777777" w:rsidR="006A6E73" w:rsidRPr="006A6E73" w:rsidRDefault="004B2DDE" w:rsidP="006A6E73">
      <w:pPr>
        <w:pStyle w:val="NormalWeb"/>
        <w:numPr>
          <w:ilvl w:val="2"/>
          <w:numId w:val="1"/>
        </w:numPr>
        <w:shd w:val="clear" w:color="auto" w:fill="FFFFFF"/>
      </w:pPr>
      <w:r>
        <w:rPr>
          <w:rFonts w:ascii="CMSS10" w:hAnsi="CMSS10"/>
          <w:sz w:val="22"/>
          <w:szCs w:val="22"/>
        </w:rPr>
        <w:t xml:space="preserve">number, density, </w:t>
      </w:r>
      <w:r w:rsidR="006A6E73">
        <w:rPr>
          <w:rFonts w:ascii="CMSS10" w:hAnsi="CMSS10"/>
          <w:sz w:val="22"/>
          <w:szCs w:val="22"/>
        </w:rPr>
        <w:t>type of institutions</w:t>
      </w:r>
    </w:p>
    <w:p w14:paraId="6405843C" w14:textId="77777777" w:rsidR="006A6E73" w:rsidRPr="006A6E73" w:rsidRDefault="006A6E73" w:rsidP="006A6E73">
      <w:pPr>
        <w:pStyle w:val="NormalWeb"/>
        <w:numPr>
          <w:ilvl w:val="2"/>
          <w:numId w:val="1"/>
        </w:numPr>
        <w:shd w:val="clear" w:color="auto" w:fill="FFFFFF"/>
      </w:pPr>
      <w:r>
        <w:rPr>
          <w:rFonts w:ascii="CMSS10" w:hAnsi="CMSS10"/>
          <w:sz w:val="22"/>
          <w:szCs w:val="22"/>
        </w:rPr>
        <w:t>Average and Median Size of programs</w:t>
      </w:r>
    </w:p>
    <w:p w14:paraId="4950A0A9" w14:textId="77777777" w:rsidR="006A6E73" w:rsidRPr="006A6E73" w:rsidRDefault="004B2DDE" w:rsidP="004B2DDE">
      <w:pPr>
        <w:pStyle w:val="NormalWeb"/>
        <w:numPr>
          <w:ilvl w:val="1"/>
          <w:numId w:val="1"/>
        </w:numPr>
        <w:shd w:val="clear" w:color="auto" w:fill="FFFFFF"/>
      </w:pPr>
      <w:r>
        <w:rPr>
          <w:rFonts w:ascii="CMSSBX10" w:hAnsi="CMSSBX10"/>
          <w:sz w:val="22"/>
          <w:szCs w:val="22"/>
        </w:rPr>
        <w:t xml:space="preserve">Degree Fit </w:t>
      </w:r>
    </w:p>
    <w:p w14:paraId="46B6A075" w14:textId="77777777" w:rsidR="00A46D1E" w:rsidRPr="00A46D1E" w:rsidRDefault="004B2DDE" w:rsidP="006A6E73">
      <w:pPr>
        <w:pStyle w:val="NormalWeb"/>
        <w:numPr>
          <w:ilvl w:val="2"/>
          <w:numId w:val="1"/>
        </w:numPr>
        <w:shd w:val="clear" w:color="auto" w:fill="FFFFFF"/>
      </w:pPr>
      <w:r>
        <w:rPr>
          <w:rFonts w:ascii="CMSS10" w:hAnsi="CMSS10"/>
          <w:sz w:val="22"/>
          <w:szCs w:val="22"/>
        </w:rPr>
        <w:t>degree levels</w:t>
      </w:r>
      <w:r w:rsidR="00A46D1E">
        <w:rPr>
          <w:rFonts w:ascii="CMSS10" w:hAnsi="CMSS10"/>
          <w:sz w:val="22"/>
          <w:szCs w:val="22"/>
        </w:rPr>
        <w:t xml:space="preserve"> by completions</w:t>
      </w:r>
    </w:p>
    <w:p w14:paraId="0671E31F" w14:textId="2324D3C7" w:rsidR="006A6E73" w:rsidRPr="006A6E73" w:rsidRDefault="004B2DDE" w:rsidP="00A46D1E">
      <w:pPr>
        <w:pStyle w:val="NormalWeb"/>
        <w:numPr>
          <w:ilvl w:val="2"/>
          <w:numId w:val="1"/>
        </w:numPr>
        <w:shd w:val="clear" w:color="auto" w:fill="FFFFFF"/>
      </w:pPr>
      <w:r>
        <w:rPr>
          <w:rFonts w:ascii="CMSS10" w:hAnsi="CMSS10"/>
          <w:sz w:val="22"/>
          <w:szCs w:val="22"/>
        </w:rPr>
        <w:t xml:space="preserve"> </w:t>
      </w:r>
      <w:r w:rsidR="00A46D1E">
        <w:rPr>
          <w:rFonts w:ascii="CMSS10" w:hAnsi="CMSS10"/>
          <w:sz w:val="22"/>
          <w:szCs w:val="22"/>
        </w:rPr>
        <w:t>degree levels by employment</w:t>
      </w:r>
    </w:p>
    <w:p w14:paraId="10E48123" w14:textId="68A18127" w:rsidR="004B2DDE" w:rsidRPr="00437528" w:rsidRDefault="004B2DDE" w:rsidP="00A46D1E">
      <w:pPr>
        <w:pStyle w:val="NormalWeb"/>
        <w:numPr>
          <w:ilvl w:val="2"/>
          <w:numId w:val="1"/>
        </w:numPr>
        <w:shd w:val="clear" w:color="auto" w:fill="FFFFFF"/>
      </w:pPr>
      <w:r>
        <w:rPr>
          <w:rFonts w:ascii="CMSS10" w:hAnsi="CMSS10"/>
          <w:sz w:val="22"/>
          <w:szCs w:val="22"/>
        </w:rPr>
        <w:t xml:space="preserve">wages </w:t>
      </w:r>
    </w:p>
    <w:p w14:paraId="16E4A903" w14:textId="239602BA" w:rsidR="00437528" w:rsidRDefault="00437528">
      <w:r>
        <w:br w:type="page"/>
      </w:r>
    </w:p>
    <w:p w14:paraId="4CF3671F" w14:textId="298D5BBA" w:rsidR="00437528" w:rsidRDefault="00437528" w:rsidP="00437528">
      <w:pPr>
        <w:pStyle w:val="NormalWeb"/>
        <w:shd w:val="clear" w:color="auto" w:fill="FFFFFF"/>
      </w:pPr>
      <w:r>
        <w:lastRenderedPageBreak/>
        <w:t>Academic personnel with PES access</w:t>
      </w:r>
    </w:p>
    <w:tbl>
      <w:tblPr>
        <w:tblW w:w="9190" w:type="dxa"/>
        <w:tblLook w:val="04A0" w:firstRow="1" w:lastRow="0" w:firstColumn="1" w:lastColumn="0" w:noHBand="0" w:noVBand="1"/>
      </w:tblPr>
      <w:tblGrid>
        <w:gridCol w:w="2580"/>
        <w:gridCol w:w="2620"/>
        <w:gridCol w:w="2580"/>
        <w:gridCol w:w="1410"/>
      </w:tblGrid>
      <w:tr w:rsidR="00437528" w:rsidRPr="00437528" w14:paraId="1C1AC62F"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257514AD" w14:textId="77777777" w:rsidR="00437528" w:rsidRPr="00437528" w:rsidRDefault="00437528" w:rsidP="00437528">
            <w:pPr>
              <w:rPr>
                <w:rFonts w:ascii="Calibri" w:hAnsi="Calibri" w:cs="Calibri"/>
                <w:color w:val="000000"/>
              </w:rPr>
            </w:pPr>
            <w:r w:rsidRPr="00437528">
              <w:rPr>
                <w:rFonts w:ascii="Calibri" w:hAnsi="Calibri" w:cs="Calibri"/>
                <w:color w:val="000000"/>
              </w:rPr>
              <w:t>Academic Unit</w:t>
            </w:r>
          </w:p>
        </w:tc>
        <w:tc>
          <w:tcPr>
            <w:tcW w:w="2620" w:type="dxa"/>
            <w:tcBorders>
              <w:top w:val="single" w:sz="4" w:space="0" w:color="8EA9DB"/>
              <w:left w:val="nil"/>
              <w:bottom w:val="single" w:sz="4" w:space="0" w:color="8EA9DB"/>
              <w:right w:val="nil"/>
            </w:tcBorders>
            <w:shd w:val="clear" w:color="D9E1F2" w:fill="D9E1F2"/>
            <w:noWrap/>
            <w:vAlign w:val="bottom"/>
            <w:hideMark/>
          </w:tcPr>
          <w:p w14:paraId="17A6F4E3" w14:textId="77777777" w:rsidR="00437528" w:rsidRPr="00437528" w:rsidRDefault="00437528" w:rsidP="00437528">
            <w:pPr>
              <w:rPr>
                <w:rFonts w:ascii="Calibri" w:hAnsi="Calibri" w:cs="Calibri"/>
                <w:color w:val="000000"/>
              </w:rPr>
            </w:pPr>
          </w:p>
        </w:tc>
        <w:tc>
          <w:tcPr>
            <w:tcW w:w="2580" w:type="dxa"/>
            <w:tcBorders>
              <w:top w:val="single" w:sz="4" w:space="0" w:color="8EA9DB"/>
              <w:left w:val="nil"/>
              <w:bottom w:val="single" w:sz="4" w:space="0" w:color="8EA9DB"/>
              <w:right w:val="nil"/>
            </w:tcBorders>
            <w:shd w:val="clear" w:color="D9E1F2" w:fill="D9E1F2"/>
            <w:noWrap/>
            <w:vAlign w:val="bottom"/>
            <w:hideMark/>
          </w:tcPr>
          <w:p w14:paraId="7B0D593D" w14:textId="77777777" w:rsidR="00437528" w:rsidRPr="00437528" w:rsidRDefault="00437528" w:rsidP="00437528">
            <w:pPr>
              <w:rPr>
                <w:sz w:val="20"/>
                <w:szCs w:val="20"/>
              </w:rPr>
            </w:pPr>
          </w:p>
        </w:tc>
        <w:tc>
          <w:tcPr>
            <w:tcW w:w="1410" w:type="dxa"/>
            <w:tcBorders>
              <w:top w:val="single" w:sz="4" w:space="0" w:color="8EA9DB"/>
              <w:left w:val="nil"/>
              <w:bottom w:val="single" w:sz="4" w:space="0" w:color="8EA9DB"/>
              <w:right w:val="nil"/>
            </w:tcBorders>
            <w:shd w:val="clear" w:color="D9E1F2" w:fill="D9E1F2"/>
            <w:noWrap/>
            <w:vAlign w:val="bottom"/>
            <w:hideMark/>
          </w:tcPr>
          <w:p w14:paraId="4A2582E1" w14:textId="77777777" w:rsidR="00437528" w:rsidRPr="00437528" w:rsidRDefault="00437528" w:rsidP="00437528">
            <w:pPr>
              <w:rPr>
                <w:sz w:val="20"/>
                <w:szCs w:val="20"/>
              </w:rPr>
            </w:pPr>
          </w:p>
        </w:tc>
      </w:tr>
      <w:tr w:rsidR="00437528" w:rsidRPr="00437528" w14:paraId="25804BC2"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auto" w:fill="auto"/>
            <w:noWrap/>
            <w:vAlign w:val="bottom"/>
            <w:hideMark/>
          </w:tcPr>
          <w:p w14:paraId="4A31C7C0" w14:textId="77777777" w:rsidR="00437528" w:rsidRPr="00437528" w:rsidRDefault="00437528" w:rsidP="00437528">
            <w:pPr>
              <w:rPr>
                <w:rFonts w:ascii="Calibri" w:hAnsi="Calibri" w:cs="Calibri"/>
                <w:color w:val="000000"/>
              </w:rPr>
            </w:pPr>
            <w:r w:rsidRPr="00437528">
              <w:rPr>
                <w:rFonts w:ascii="Calibri" w:hAnsi="Calibri" w:cs="Calibri"/>
                <w:color w:val="000000"/>
              </w:rPr>
              <w:t>LIB</w:t>
            </w:r>
          </w:p>
        </w:tc>
        <w:tc>
          <w:tcPr>
            <w:tcW w:w="2620" w:type="dxa"/>
            <w:tcBorders>
              <w:top w:val="single" w:sz="4" w:space="0" w:color="8EA9DB"/>
              <w:left w:val="nil"/>
              <w:bottom w:val="single" w:sz="4" w:space="0" w:color="8EA9DB"/>
              <w:right w:val="nil"/>
            </w:tcBorders>
            <w:shd w:val="clear" w:color="auto" w:fill="auto"/>
            <w:noWrap/>
            <w:vAlign w:val="bottom"/>
            <w:hideMark/>
          </w:tcPr>
          <w:p w14:paraId="72C8DFF2" w14:textId="77777777" w:rsidR="00437528" w:rsidRPr="00437528" w:rsidRDefault="00437528" w:rsidP="00437528">
            <w:pPr>
              <w:rPr>
                <w:rFonts w:ascii="Calibri" w:hAnsi="Calibri" w:cs="Calibri"/>
                <w:color w:val="000000"/>
              </w:rPr>
            </w:pPr>
            <w:r w:rsidRPr="00437528">
              <w:rPr>
                <w:rFonts w:ascii="Calibri" w:hAnsi="Calibri" w:cs="Calibri"/>
                <w:color w:val="000000"/>
              </w:rPr>
              <w:t>Jeffrey Waldrop</w:t>
            </w:r>
          </w:p>
        </w:tc>
        <w:tc>
          <w:tcPr>
            <w:tcW w:w="2580" w:type="dxa"/>
            <w:tcBorders>
              <w:top w:val="single" w:sz="4" w:space="0" w:color="8EA9DB"/>
              <w:left w:val="nil"/>
              <w:bottom w:val="single" w:sz="4" w:space="0" w:color="8EA9DB"/>
              <w:right w:val="nil"/>
            </w:tcBorders>
            <w:shd w:val="clear" w:color="auto" w:fill="auto"/>
            <w:noWrap/>
            <w:vAlign w:val="bottom"/>
            <w:hideMark/>
          </w:tcPr>
          <w:p w14:paraId="1F4446E5" w14:textId="77777777" w:rsidR="00437528" w:rsidRPr="00437528" w:rsidRDefault="00437528" w:rsidP="00437528">
            <w:pPr>
              <w:rPr>
                <w:rFonts w:ascii="Calibri" w:hAnsi="Calibri" w:cs="Calibri"/>
                <w:color w:val="000000"/>
              </w:rPr>
            </w:pPr>
            <w:r w:rsidRPr="00437528">
              <w:rPr>
                <w:rFonts w:ascii="Calibri" w:hAnsi="Calibri" w:cs="Calibri"/>
                <w:color w:val="000000"/>
              </w:rPr>
              <w:t>Scott Gilles</w:t>
            </w:r>
          </w:p>
        </w:tc>
        <w:tc>
          <w:tcPr>
            <w:tcW w:w="1410" w:type="dxa"/>
            <w:tcBorders>
              <w:top w:val="single" w:sz="4" w:space="0" w:color="8EA9DB"/>
              <w:left w:val="nil"/>
              <w:bottom w:val="single" w:sz="4" w:space="0" w:color="8EA9DB"/>
              <w:right w:val="nil"/>
            </w:tcBorders>
            <w:shd w:val="clear" w:color="auto" w:fill="auto"/>
            <w:noWrap/>
            <w:vAlign w:val="bottom"/>
            <w:hideMark/>
          </w:tcPr>
          <w:p w14:paraId="19607BF6" w14:textId="77777777" w:rsidR="00437528" w:rsidRPr="00437528" w:rsidRDefault="00437528" w:rsidP="00437528">
            <w:pPr>
              <w:rPr>
                <w:rFonts w:ascii="Calibri" w:hAnsi="Calibri" w:cs="Calibri"/>
                <w:color w:val="000000"/>
              </w:rPr>
            </w:pPr>
          </w:p>
        </w:tc>
      </w:tr>
      <w:tr w:rsidR="00437528" w:rsidRPr="00437528" w14:paraId="784D3E18"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45E71E94" w14:textId="77777777" w:rsidR="00437528" w:rsidRPr="00437528" w:rsidRDefault="00437528" w:rsidP="00437528">
            <w:pPr>
              <w:rPr>
                <w:rFonts w:ascii="Calibri" w:hAnsi="Calibri" w:cs="Calibri"/>
                <w:color w:val="000000"/>
              </w:rPr>
            </w:pPr>
            <w:r w:rsidRPr="00437528">
              <w:rPr>
                <w:rFonts w:ascii="Calibri" w:hAnsi="Calibri" w:cs="Calibri"/>
                <w:color w:val="000000"/>
              </w:rPr>
              <w:t xml:space="preserve">NUR </w:t>
            </w:r>
          </w:p>
        </w:tc>
        <w:tc>
          <w:tcPr>
            <w:tcW w:w="2620" w:type="dxa"/>
            <w:tcBorders>
              <w:top w:val="single" w:sz="4" w:space="0" w:color="8EA9DB"/>
              <w:left w:val="nil"/>
              <w:bottom w:val="single" w:sz="4" w:space="0" w:color="8EA9DB"/>
              <w:right w:val="nil"/>
            </w:tcBorders>
            <w:shd w:val="clear" w:color="D9E1F2" w:fill="D9E1F2"/>
            <w:noWrap/>
            <w:vAlign w:val="bottom"/>
            <w:hideMark/>
          </w:tcPr>
          <w:p w14:paraId="4E8CEA15" w14:textId="77777777" w:rsidR="00437528" w:rsidRPr="00437528" w:rsidRDefault="00437528" w:rsidP="00437528">
            <w:pPr>
              <w:rPr>
                <w:rFonts w:ascii="Calibri" w:hAnsi="Calibri" w:cs="Calibri"/>
                <w:color w:val="000000"/>
              </w:rPr>
            </w:pPr>
            <w:r w:rsidRPr="00437528">
              <w:rPr>
                <w:rFonts w:ascii="Calibri" w:hAnsi="Calibri" w:cs="Calibri"/>
                <w:color w:val="000000"/>
              </w:rPr>
              <w:t>Linda Streit</w:t>
            </w:r>
          </w:p>
        </w:tc>
        <w:tc>
          <w:tcPr>
            <w:tcW w:w="2580" w:type="dxa"/>
            <w:tcBorders>
              <w:top w:val="single" w:sz="4" w:space="0" w:color="8EA9DB"/>
              <w:left w:val="nil"/>
              <w:bottom w:val="single" w:sz="4" w:space="0" w:color="8EA9DB"/>
              <w:right w:val="nil"/>
            </w:tcBorders>
            <w:shd w:val="clear" w:color="D9E1F2" w:fill="D9E1F2"/>
            <w:noWrap/>
            <w:vAlign w:val="bottom"/>
            <w:hideMark/>
          </w:tcPr>
          <w:p w14:paraId="0EFD0B10" w14:textId="77777777" w:rsidR="00437528" w:rsidRPr="00437528" w:rsidRDefault="00437528" w:rsidP="00437528">
            <w:pPr>
              <w:rPr>
                <w:rFonts w:ascii="Calibri" w:hAnsi="Calibri" w:cs="Calibri"/>
                <w:color w:val="000000"/>
              </w:rPr>
            </w:pPr>
          </w:p>
        </w:tc>
        <w:tc>
          <w:tcPr>
            <w:tcW w:w="1410" w:type="dxa"/>
            <w:tcBorders>
              <w:top w:val="single" w:sz="4" w:space="0" w:color="8EA9DB"/>
              <w:left w:val="nil"/>
              <w:bottom w:val="single" w:sz="4" w:space="0" w:color="8EA9DB"/>
              <w:right w:val="nil"/>
            </w:tcBorders>
            <w:shd w:val="clear" w:color="D9E1F2" w:fill="D9E1F2"/>
            <w:noWrap/>
            <w:vAlign w:val="bottom"/>
            <w:hideMark/>
          </w:tcPr>
          <w:p w14:paraId="1C9E19B7" w14:textId="77777777" w:rsidR="00437528" w:rsidRPr="00437528" w:rsidRDefault="00437528" w:rsidP="00437528">
            <w:pPr>
              <w:rPr>
                <w:sz w:val="20"/>
                <w:szCs w:val="20"/>
              </w:rPr>
            </w:pPr>
          </w:p>
        </w:tc>
      </w:tr>
      <w:tr w:rsidR="00437528" w:rsidRPr="00437528" w14:paraId="23FBCA69"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auto" w:fill="auto"/>
            <w:noWrap/>
            <w:vAlign w:val="bottom"/>
            <w:hideMark/>
          </w:tcPr>
          <w:p w14:paraId="46541CE6" w14:textId="77777777" w:rsidR="00437528" w:rsidRPr="00437528" w:rsidRDefault="00437528" w:rsidP="00437528">
            <w:pPr>
              <w:rPr>
                <w:rFonts w:ascii="Calibri" w:hAnsi="Calibri" w:cs="Calibri"/>
                <w:color w:val="000000"/>
              </w:rPr>
            </w:pPr>
            <w:r w:rsidRPr="00437528">
              <w:rPr>
                <w:rFonts w:ascii="Calibri" w:hAnsi="Calibri" w:cs="Calibri"/>
                <w:color w:val="000000"/>
              </w:rPr>
              <w:t xml:space="preserve">CLA </w:t>
            </w:r>
          </w:p>
        </w:tc>
        <w:tc>
          <w:tcPr>
            <w:tcW w:w="2620" w:type="dxa"/>
            <w:tcBorders>
              <w:top w:val="single" w:sz="4" w:space="0" w:color="8EA9DB"/>
              <w:left w:val="nil"/>
              <w:bottom w:val="single" w:sz="4" w:space="0" w:color="8EA9DB"/>
              <w:right w:val="nil"/>
            </w:tcBorders>
            <w:shd w:val="clear" w:color="auto" w:fill="auto"/>
            <w:noWrap/>
            <w:vAlign w:val="bottom"/>
            <w:hideMark/>
          </w:tcPr>
          <w:p w14:paraId="23E578E6" w14:textId="77777777" w:rsidR="00437528" w:rsidRPr="00437528" w:rsidRDefault="00437528" w:rsidP="00437528">
            <w:pPr>
              <w:rPr>
                <w:rFonts w:ascii="Calibri" w:hAnsi="Calibri" w:cs="Calibri"/>
                <w:color w:val="000000"/>
              </w:rPr>
            </w:pPr>
            <w:r w:rsidRPr="00437528">
              <w:rPr>
                <w:rFonts w:ascii="Calibri" w:hAnsi="Calibri" w:cs="Calibri"/>
                <w:color w:val="000000"/>
              </w:rPr>
              <w:t>Anita Gustafson</w:t>
            </w:r>
          </w:p>
        </w:tc>
        <w:tc>
          <w:tcPr>
            <w:tcW w:w="2580" w:type="dxa"/>
            <w:tcBorders>
              <w:top w:val="single" w:sz="4" w:space="0" w:color="8EA9DB"/>
              <w:left w:val="nil"/>
              <w:bottom w:val="single" w:sz="4" w:space="0" w:color="8EA9DB"/>
              <w:right w:val="nil"/>
            </w:tcBorders>
            <w:shd w:val="clear" w:color="auto" w:fill="auto"/>
            <w:noWrap/>
            <w:vAlign w:val="bottom"/>
            <w:hideMark/>
          </w:tcPr>
          <w:p w14:paraId="355BE520" w14:textId="77777777" w:rsidR="00437528" w:rsidRPr="00437528" w:rsidRDefault="00437528" w:rsidP="00437528">
            <w:pPr>
              <w:rPr>
                <w:rFonts w:ascii="Calibri" w:hAnsi="Calibri" w:cs="Calibri"/>
                <w:color w:val="000000"/>
              </w:rPr>
            </w:pPr>
            <w:r w:rsidRPr="00437528">
              <w:rPr>
                <w:rFonts w:ascii="Calibri" w:hAnsi="Calibri" w:cs="Calibri"/>
                <w:color w:val="000000"/>
              </w:rPr>
              <w:t>Jeff Denny</w:t>
            </w:r>
          </w:p>
        </w:tc>
        <w:tc>
          <w:tcPr>
            <w:tcW w:w="1410" w:type="dxa"/>
            <w:tcBorders>
              <w:top w:val="single" w:sz="4" w:space="0" w:color="8EA9DB"/>
              <w:left w:val="nil"/>
              <w:bottom w:val="single" w:sz="4" w:space="0" w:color="8EA9DB"/>
              <w:right w:val="nil"/>
            </w:tcBorders>
            <w:shd w:val="clear" w:color="auto" w:fill="auto"/>
            <w:noWrap/>
            <w:vAlign w:val="bottom"/>
            <w:hideMark/>
          </w:tcPr>
          <w:p w14:paraId="2171C0BD" w14:textId="77777777" w:rsidR="00437528" w:rsidRPr="00437528" w:rsidRDefault="00437528" w:rsidP="00437528">
            <w:pPr>
              <w:rPr>
                <w:rFonts w:ascii="Calibri" w:hAnsi="Calibri" w:cs="Calibri"/>
                <w:color w:val="000000"/>
              </w:rPr>
            </w:pPr>
          </w:p>
        </w:tc>
      </w:tr>
      <w:tr w:rsidR="00437528" w:rsidRPr="00437528" w14:paraId="4082FD13"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0D90D705" w14:textId="77777777" w:rsidR="00437528" w:rsidRPr="00437528" w:rsidRDefault="00437528" w:rsidP="00437528">
            <w:pPr>
              <w:rPr>
                <w:rFonts w:ascii="Calibri" w:hAnsi="Calibri" w:cs="Calibri"/>
                <w:color w:val="000000"/>
              </w:rPr>
            </w:pPr>
            <w:r w:rsidRPr="00437528">
              <w:rPr>
                <w:rFonts w:ascii="Calibri" w:hAnsi="Calibri" w:cs="Calibri"/>
                <w:color w:val="000000"/>
              </w:rPr>
              <w:t>BUS</w:t>
            </w:r>
          </w:p>
        </w:tc>
        <w:tc>
          <w:tcPr>
            <w:tcW w:w="2620" w:type="dxa"/>
            <w:tcBorders>
              <w:top w:val="single" w:sz="4" w:space="0" w:color="8EA9DB"/>
              <w:left w:val="nil"/>
              <w:bottom w:val="single" w:sz="4" w:space="0" w:color="8EA9DB"/>
              <w:right w:val="nil"/>
            </w:tcBorders>
            <w:shd w:val="clear" w:color="D9E1F2" w:fill="D9E1F2"/>
            <w:noWrap/>
            <w:vAlign w:val="bottom"/>
            <w:hideMark/>
          </w:tcPr>
          <w:p w14:paraId="08958920" w14:textId="211ACDE9" w:rsidR="00437528" w:rsidRPr="00437528" w:rsidRDefault="00437528" w:rsidP="00437528">
            <w:pPr>
              <w:rPr>
                <w:rFonts w:ascii="Calibri" w:hAnsi="Calibri" w:cs="Calibri"/>
                <w:color w:val="000000"/>
              </w:rPr>
            </w:pPr>
            <w:r w:rsidRPr="00437528">
              <w:rPr>
                <w:rFonts w:ascii="Calibri" w:hAnsi="Calibri" w:cs="Calibri"/>
                <w:color w:val="000000"/>
              </w:rPr>
              <w:t>Julie Pether</w:t>
            </w:r>
            <w:r>
              <w:rPr>
                <w:rFonts w:ascii="Calibri" w:hAnsi="Calibri" w:cs="Calibri"/>
                <w:color w:val="000000"/>
              </w:rPr>
              <w:t>br</w:t>
            </w:r>
            <w:r w:rsidRPr="00437528">
              <w:rPr>
                <w:rFonts w:ascii="Calibri" w:hAnsi="Calibri" w:cs="Calibri"/>
                <w:color w:val="000000"/>
              </w:rPr>
              <w:t>idge</w:t>
            </w:r>
          </w:p>
        </w:tc>
        <w:tc>
          <w:tcPr>
            <w:tcW w:w="2580" w:type="dxa"/>
            <w:tcBorders>
              <w:top w:val="single" w:sz="4" w:space="0" w:color="8EA9DB"/>
              <w:left w:val="nil"/>
              <w:bottom w:val="single" w:sz="4" w:space="0" w:color="8EA9DB"/>
              <w:right w:val="nil"/>
            </w:tcBorders>
            <w:shd w:val="clear" w:color="D9E1F2" w:fill="D9E1F2"/>
            <w:noWrap/>
            <w:vAlign w:val="bottom"/>
            <w:hideMark/>
          </w:tcPr>
          <w:p w14:paraId="6BBA4DD7" w14:textId="77777777" w:rsidR="00437528" w:rsidRPr="00437528" w:rsidRDefault="00437528" w:rsidP="00437528">
            <w:pPr>
              <w:rPr>
                <w:rFonts w:ascii="Calibri" w:hAnsi="Calibri" w:cs="Calibri"/>
                <w:color w:val="000000"/>
              </w:rPr>
            </w:pPr>
            <w:r w:rsidRPr="00437528">
              <w:rPr>
                <w:rFonts w:ascii="Calibri" w:hAnsi="Calibri" w:cs="Calibri"/>
                <w:color w:val="000000"/>
              </w:rPr>
              <w:t>Vijaya Subrahmanyam</w:t>
            </w:r>
          </w:p>
        </w:tc>
        <w:tc>
          <w:tcPr>
            <w:tcW w:w="1410" w:type="dxa"/>
            <w:tcBorders>
              <w:top w:val="single" w:sz="4" w:space="0" w:color="8EA9DB"/>
              <w:left w:val="nil"/>
              <w:bottom w:val="single" w:sz="4" w:space="0" w:color="8EA9DB"/>
              <w:right w:val="nil"/>
            </w:tcBorders>
            <w:shd w:val="clear" w:color="D9E1F2" w:fill="D9E1F2"/>
            <w:noWrap/>
            <w:vAlign w:val="bottom"/>
            <w:hideMark/>
          </w:tcPr>
          <w:p w14:paraId="65491A4E" w14:textId="77777777" w:rsidR="00437528" w:rsidRPr="00437528" w:rsidRDefault="00437528" w:rsidP="00437528">
            <w:pPr>
              <w:rPr>
                <w:rFonts w:ascii="Calibri" w:hAnsi="Calibri" w:cs="Calibri"/>
                <w:color w:val="000000"/>
              </w:rPr>
            </w:pPr>
            <w:r w:rsidRPr="00437528">
              <w:rPr>
                <w:rFonts w:ascii="Calibri" w:hAnsi="Calibri" w:cs="Calibri"/>
                <w:color w:val="000000"/>
              </w:rPr>
              <w:t>Jim Hunt</w:t>
            </w:r>
          </w:p>
        </w:tc>
      </w:tr>
      <w:tr w:rsidR="00437528" w:rsidRPr="00437528" w14:paraId="6E78036E"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auto" w:fill="auto"/>
            <w:noWrap/>
            <w:vAlign w:val="bottom"/>
            <w:hideMark/>
          </w:tcPr>
          <w:p w14:paraId="7C339A77" w14:textId="77777777" w:rsidR="00437528" w:rsidRPr="00437528" w:rsidRDefault="00437528" w:rsidP="00437528">
            <w:pPr>
              <w:rPr>
                <w:rFonts w:ascii="Calibri" w:hAnsi="Calibri" w:cs="Calibri"/>
                <w:color w:val="000000"/>
              </w:rPr>
            </w:pPr>
            <w:r w:rsidRPr="00437528">
              <w:rPr>
                <w:rFonts w:ascii="Calibri" w:hAnsi="Calibri" w:cs="Calibri"/>
                <w:color w:val="000000"/>
              </w:rPr>
              <w:t>MUS</w:t>
            </w:r>
          </w:p>
        </w:tc>
        <w:tc>
          <w:tcPr>
            <w:tcW w:w="2620" w:type="dxa"/>
            <w:tcBorders>
              <w:top w:val="single" w:sz="4" w:space="0" w:color="8EA9DB"/>
              <w:left w:val="nil"/>
              <w:bottom w:val="single" w:sz="4" w:space="0" w:color="8EA9DB"/>
              <w:right w:val="nil"/>
            </w:tcBorders>
            <w:shd w:val="clear" w:color="auto" w:fill="auto"/>
            <w:noWrap/>
            <w:vAlign w:val="bottom"/>
            <w:hideMark/>
          </w:tcPr>
          <w:p w14:paraId="62B9BBE4" w14:textId="77777777" w:rsidR="00437528" w:rsidRPr="00437528" w:rsidRDefault="00437528" w:rsidP="00437528">
            <w:pPr>
              <w:rPr>
                <w:rFonts w:ascii="Calibri" w:hAnsi="Calibri" w:cs="Calibri"/>
                <w:color w:val="000000"/>
              </w:rPr>
            </w:pPr>
            <w:r w:rsidRPr="00437528">
              <w:rPr>
                <w:rFonts w:ascii="Calibri" w:hAnsi="Calibri" w:cs="Calibri"/>
                <w:color w:val="000000"/>
              </w:rPr>
              <w:t>Doug Hill</w:t>
            </w:r>
          </w:p>
        </w:tc>
        <w:tc>
          <w:tcPr>
            <w:tcW w:w="2580" w:type="dxa"/>
            <w:tcBorders>
              <w:top w:val="single" w:sz="4" w:space="0" w:color="8EA9DB"/>
              <w:left w:val="nil"/>
              <w:bottom w:val="single" w:sz="4" w:space="0" w:color="8EA9DB"/>
              <w:right w:val="nil"/>
            </w:tcBorders>
            <w:shd w:val="clear" w:color="auto" w:fill="auto"/>
            <w:noWrap/>
            <w:vAlign w:val="bottom"/>
            <w:hideMark/>
          </w:tcPr>
          <w:p w14:paraId="0A6A12FE" w14:textId="77777777" w:rsidR="00437528" w:rsidRPr="00437528" w:rsidRDefault="00437528" w:rsidP="00437528">
            <w:pPr>
              <w:rPr>
                <w:rFonts w:ascii="Calibri" w:hAnsi="Calibri" w:cs="Calibri"/>
                <w:color w:val="000000"/>
              </w:rPr>
            </w:pPr>
            <w:r w:rsidRPr="00437528">
              <w:rPr>
                <w:rFonts w:ascii="Calibri" w:hAnsi="Calibri" w:cs="Calibri"/>
                <w:color w:val="000000"/>
              </w:rPr>
              <w:t>Rich Kosowski</w:t>
            </w:r>
          </w:p>
        </w:tc>
        <w:tc>
          <w:tcPr>
            <w:tcW w:w="1410" w:type="dxa"/>
            <w:tcBorders>
              <w:top w:val="single" w:sz="4" w:space="0" w:color="8EA9DB"/>
              <w:left w:val="nil"/>
              <w:bottom w:val="single" w:sz="4" w:space="0" w:color="8EA9DB"/>
              <w:right w:val="nil"/>
            </w:tcBorders>
            <w:shd w:val="clear" w:color="auto" w:fill="auto"/>
            <w:noWrap/>
            <w:vAlign w:val="bottom"/>
            <w:hideMark/>
          </w:tcPr>
          <w:p w14:paraId="226742BD" w14:textId="77777777" w:rsidR="00437528" w:rsidRPr="00437528" w:rsidRDefault="00437528" w:rsidP="00437528">
            <w:pPr>
              <w:rPr>
                <w:rFonts w:ascii="Calibri" w:hAnsi="Calibri" w:cs="Calibri"/>
                <w:color w:val="000000"/>
              </w:rPr>
            </w:pPr>
          </w:p>
        </w:tc>
      </w:tr>
      <w:tr w:rsidR="00437528" w:rsidRPr="00437528" w14:paraId="3583E9B2"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0D288AB3" w14:textId="77777777" w:rsidR="00437528" w:rsidRPr="00437528" w:rsidRDefault="00437528" w:rsidP="00437528">
            <w:pPr>
              <w:rPr>
                <w:rFonts w:ascii="Calibri" w:hAnsi="Calibri" w:cs="Calibri"/>
                <w:color w:val="000000"/>
              </w:rPr>
            </w:pPr>
            <w:r w:rsidRPr="00437528">
              <w:rPr>
                <w:rFonts w:ascii="Calibri" w:hAnsi="Calibri" w:cs="Calibri"/>
                <w:color w:val="000000"/>
              </w:rPr>
              <w:t>COP</w:t>
            </w:r>
          </w:p>
        </w:tc>
        <w:tc>
          <w:tcPr>
            <w:tcW w:w="2620" w:type="dxa"/>
            <w:tcBorders>
              <w:top w:val="single" w:sz="4" w:space="0" w:color="8EA9DB"/>
              <w:left w:val="nil"/>
              <w:bottom w:val="single" w:sz="4" w:space="0" w:color="8EA9DB"/>
              <w:right w:val="nil"/>
            </w:tcBorders>
            <w:shd w:val="clear" w:color="D9E1F2" w:fill="D9E1F2"/>
            <w:noWrap/>
            <w:vAlign w:val="bottom"/>
            <w:hideMark/>
          </w:tcPr>
          <w:p w14:paraId="675DB2B1" w14:textId="77777777" w:rsidR="00437528" w:rsidRPr="00437528" w:rsidRDefault="00437528" w:rsidP="00437528">
            <w:pPr>
              <w:rPr>
                <w:rFonts w:ascii="Calibri" w:hAnsi="Calibri" w:cs="Calibri"/>
                <w:color w:val="000000"/>
              </w:rPr>
            </w:pPr>
            <w:r w:rsidRPr="00437528">
              <w:rPr>
                <w:rFonts w:ascii="Calibri" w:hAnsi="Calibri" w:cs="Calibri"/>
                <w:color w:val="000000"/>
              </w:rPr>
              <w:t>Brian Crabtree</w:t>
            </w:r>
          </w:p>
        </w:tc>
        <w:tc>
          <w:tcPr>
            <w:tcW w:w="2580" w:type="dxa"/>
            <w:tcBorders>
              <w:top w:val="single" w:sz="4" w:space="0" w:color="8EA9DB"/>
              <w:left w:val="nil"/>
              <w:bottom w:val="single" w:sz="4" w:space="0" w:color="8EA9DB"/>
              <w:right w:val="nil"/>
            </w:tcBorders>
            <w:shd w:val="clear" w:color="D9E1F2" w:fill="D9E1F2"/>
            <w:noWrap/>
            <w:vAlign w:val="bottom"/>
            <w:hideMark/>
          </w:tcPr>
          <w:p w14:paraId="109D1CF3" w14:textId="77777777" w:rsidR="00437528" w:rsidRPr="00437528" w:rsidRDefault="00437528" w:rsidP="00437528">
            <w:pPr>
              <w:rPr>
                <w:rFonts w:ascii="Calibri" w:hAnsi="Calibri" w:cs="Calibri"/>
                <w:color w:val="000000"/>
              </w:rPr>
            </w:pPr>
            <w:r w:rsidRPr="00437528">
              <w:rPr>
                <w:rFonts w:ascii="Calibri" w:hAnsi="Calibri" w:cs="Calibri"/>
                <w:color w:val="000000"/>
              </w:rPr>
              <w:t>Candace Barnett</w:t>
            </w:r>
          </w:p>
        </w:tc>
        <w:tc>
          <w:tcPr>
            <w:tcW w:w="1410" w:type="dxa"/>
            <w:tcBorders>
              <w:top w:val="single" w:sz="4" w:space="0" w:color="8EA9DB"/>
              <w:left w:val="nil"/>
              <w:bottom w:val="single" w:sz="4" w:space="0" w:color="8EA9DB"/>
              <w:right w:val="nil"/>
            </w:tcBorders>
            <w:shd w:val="clear" w:color="D9E1F2" w:fill="D9E1F2"/>
            <w:noWrap/>
            <w:vAlign w:val="bottom"/>
            <w:hideMark/>
          </w:tcPr>
          <w:p w14:paraId="766C5849" w14:textId="77777777" w:rsidR="00437528" w:rsidRPr="00437528" w:rsidRDefault="00437528" w:rsidP="00437528">
            <w:pPr>
              <w:rPr>
                <w:rFonts w:ascii="Calibri" w:hAnsi="Calibri" w:cs="Calibri"/>
                <w:color w:val="000000"/>
              </w:rPr>
            </w:pPr>
            <w:r w:rsidRPr="00437528">
              <w:rPr>
                <w:rFonts w:ascii="Calibri" w:hAnsi="Calibri" w:cs="Calibri"/>
                <w:color w:val="000000"/>
              </w:rPr>
              <w:t>Jill Augustine</w:t>
            </w:r>
          </w:p>
        </w:tc>
      </w:tr>
      <w:tr w:rsidR="00437528" w:rsidRPr="00437528" w14:paraId="1B51AA0F"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auto" w:fill="auto"/>
            <w:noWrap/>
            <w:vAlign w:val="bottom"/>
            <w:hideMark/>
          </w:tcPr>
          <w:p w14:paraId="20A93133" w14:textId="77777777" w:rsidR="00437528" w:rsidRPr="00437528" w:rsidRDefault="00437528" w:rsidP="00437528">
            <w:pPr>
              <w:rPr>
                <w:rFonts w:ascii="Calibri" w:hAnsi="Calibri" w:cs="Calibri"/>
                <w:color w:val="000000"/>
              </w:rPr>
            </w:pPr>
            <w:r w:rsidRPr="00437528">
              <w:rPr>
                <w:rFonts w:ascii="Calibri" w:hAnsi="Calibri" w:cs="Calibri"/>
                <w:color w:val="000000"/>
              </w:rPr>
              <w:t>EDU</w:t>
            </w:r>
          </w:p>
        </w:tc>
        <w:tc>
          <w:tcPr>
            <w:tcW w:w="2620" w:type="dxa"/>
            <w:tcBorders>
              <w:top w:val="single" w:sz="4" w:space="0" w:color="8EA9DB"/>
              <w:left w:val="nil"/>
              <w:bottom w:val="single" w:sz="4" w:space="0" w:color="8EA9DB"/>
              <w:right w:val="nil"/>
            </w:tcBorders>
            <w:shd w:val="clear" w:color="auto" w:fill="auto"/>
            <w:noWrap/>
            <w:vAlign w:val="bottom"/>
            <w:hideMark/>
          </w:tcPr>
          <w:p w14:paraId="15D13BB6" w14:textId="5D111987" w:rsidR="00437528" w:rsidRPr="00437528" w:rsidRDefault="00437528" w:rsidP="00437528">
            <w:pPr>
              <w:rPr>
                <w:rFonts w:ascii="Calibri" w:hAnsi="Calibri" w:cs="Calibri"/>
                <w:color w:val="000000"/>
              </w:rPr>
            </w:pPr>
            <w:r w:rsidRPr="00437528">
              <w:rPr>
                <w:rFonts w:ascii="Calibri" w:hAnsi="Calibri" w:cs="Calibri"/>
                <w:color w:val="000000"/>
              </w:rPr>
              <w:t>Kelly Reff</w:t>
            </w:r>
            <w:r>
              <w:rPr>
                <w:rFonts w:ascii="Calibri" w:hAnsi="Calibri" w:cs="Calibri"/>
                <w:color w:val="000000"/>
              </w:rPr>
              <w:t>it</w:t>
            </w:r>
            <w:r w:rsidRPr="00437528">
              <w:rPr>
                <w:rFonts w:ascii="Calibri" w:hAnsi="Calibri" w:cs="Calibri"/>
                <w:color w:val="000000"/>
              </w:rPr>
              <w:t>t</w:t>
            </w:r>
          </w:p>
        </w:tc>
        <w:tc>
          <w:tcPr>
            <w:tcW w:w="2580" w:type="dxa"/>
            <w:tcBorders>
              <w:top w:val="single" w:sz="4" w:space="0" w:color="8EA9DB"/>
              <w:left w:val="nil"/>
              <w:bottom w:val="single" w:sz="4" w:space="0" w:color="8EA9DB"/>
              <w:right w:val="nil"/>
            </w:tcBorders>
            <w:shd w:val="clear" w:color="auto" w:fill="auto"/>
            <w:noWrap/>
            <w:vAlign w:val="bottom"/>
            <w:hideMark/>
          </w:tcPr>
          <w:p w14:paraId="16EC61DA" w14:textId="77777777" w:rsidR="00437528" w:rsidRPr="00437528" w:rsidRDefault="00437528" w:rsidP="00437528">
            <w:pPr>
              <w:rPr>
                <w:rFonts w:ascii="Calibri" w:hAnsi="Calibri" w:cs="Calibri"/>
                <w:color w:val="000000"/>
              </w:rPr>
            </w:pPr>
            <w:r w:rsidRPr="00437528">
              <w:rPr>
                <w:rFonts w:ascii="Calibri" w:hAnsi="Calibri" w:cs="Calibri"/>
                <w:color w:val="000000"/>
              </w:rPr>
              <w:t>Jeff Hall</w:t>
            </w:r>
          </w:p>
        </w:tc>
        <w:tc>
          <w:tcPr>
            <w:tcW w:w="1410" w:type="dxa"/>
            <w:tcBorders>
              <w:top w:val="single" w:sz="4" w:space="0" w:color="8EA9DB"/>
              <w:left w:val="nil"/>
              <w:bottom w:val="single" w:sz="4" w:space="0" w:color="8EA9DB"/>
              <w:right w:val="nil"/>
            </w:tcBorders>
            <w:shd w:val="clear" w:color="auto" w:fill="auto"/>
            <w:noWrap/>
            <w:vAlign w:val="bottom"/>
            <w:hideMark/>
          </w:tcPr>
          <w:p w14:paraId="0572AC89" w14:textId="77777777" w:rsidR="00437528" w:rsidRPr="00437528" w:rsidRDefault="00437528" w:rsidP="00437528">
            <w:pPr>
              <w:rPr>
                <w:rFonts w:ascii="Calibri" w:hAnsi="Calibri" w:cs="Calibri"/>
                <w:color w:val="000000"/>
              </w:rPr>
            </w:pPr>
          </w:p>
        </w:tc>
      </w:tr>
      <w:tr w:rsidR="00437528" w:rsidRPr="00437528" w14:paraId="7018DEDE"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26F5D452" w14:textId="77777777" w:rsidR="00437528" w:rsidRPr="00437528" w:rsidRDefault="00437528" w:rsidP="00437528">
            <w:pPr>
              <w:rPr>
                <w:rFonts w:ascii="Calibri" w:hAnsi="Calibri" w:cs="Calibri"/>
                <w:color w:val="000000"/>
              </w:rPr>
            </w:pPr>
            <w:r w:rsidRPr="00437528">
              <w:rPr>
                <w:rFonts w:ascii="Calibri" w:hAnsi="Calibri" w:cs="Calibri"/>
                <w:color w:val="000000"/>
              </w:rPr>
              <w:t>MED</w:t>
            </w:r>
          </w:p>
        </w:tc>
        <w:tc>
          <w:tcPr>
            <w:tcW w:w="2620" w:type="dxa"/>
            <w:tcBorders>
              <w:top w:val="single" w:sz="4" w:space="0" w:color="8EA9DB"/>
              <w:left w:val="nil"/>
              <w:bottom w:val="single" w:sz="4" w:space="0" w:color="8EA9DB"/>
              <w:right w:val="nil"/>
            </w:tcBorders>
            <w:shd w:val="clear" w:color="D9E1F2" w:fill="D9E1F2"/>
            <w:noWrap/>
            <w:vAlign w:val="bottom"/>
            <w:hideMark/>
          </w:tcPr>
          <w:p w14:paraId="3FDF2395" w14:textId="77777777" w:rsidR="00437528" w:rsidRPr="00437528" w:rsidRDefault="00437528" w:rsidP="00437528">
            <w:pPr>
              <w:rPr>
                <w:rFonts w:ascii="Calibri" w:hAnsi="Calibri" w:cs="Calibri"/>
                <w:color w:val="000000"/>
              </w:rPr>
            </w:pPr>
            <w:r w:rsidRPr="00437528">
              <w:rPr>
                <w:rFonts w:ascii="Calibri" w:hAnsi="Calibri" w:cs="Calibri"/>
                <w:color w:val="000000"/>
              </w:rPr>
              <w:t>Marie Dent</w:t>
            </w:r>
          </w:p>
        </w:tc>
        <w:tc>
          <w:tcPr>
            <w:tcW w:w="2580" w:type="dxa"/>
            <w:tcBorders>
              <w:top w:val="single" w:sz="4" w:space="0" w:color="8EA9DB"/>
              <w:left w:val="nil"/>
              <w:bottom w:val="single" w:sz="4" w:space="0" w:color="8EA9DB"/>
              <w:right w:val="nil"/>
            </w:tcBorders>
            <w:shd w:val="clear" w:color="D9E1F2" w:fill="D9E1F2"/>
            <w:noWrap/>
            <w:vAlign w:val="bottom"/>
            <w:hideMark/>
          </w:tcPr>
          <w:p w14:paraId="6E64E424" w14:textId="77777777" w:rsidR="00437528" w:rsidRPr="00437528" w:rsidRDefault="00437528" w:rsidP="00437528">
            <w:pPr>
              <w:rPr>
                <w:rFonts w:ascii="Calibri" w:hAnsi="Calibri" w:cs="Calibri"/>
                <w:color w:val="000000"/>
              </w:rPr>
            </w:pPr>
            <w:r w:rsidRPr="00437528">
              <w:rPr>
                <w:rFonts w:ascii="Calibri" w:hAnsi="Calibri" w:cs="Calibri"/>
                <w:color w:val="000000"/>
              </w:rPr>
              <w:t>Bonnie Dickerson</w:t>
            </w:r>
          </w:p>
        </w:tc>
        <w:tc>
          <w:tcPr>
            <w:tcW w:w="1410" w:type="dxa"/>
            <w:tcBorders>
              <w:top w:val="single" w:sz="4" w:space="0" w:color="8EA9DB"/>
              <w:left w:val="nil"/>
              <w:bottom w:val="single" w:sz="4" w:space="0" w:color="8EA9DB"/>
              <w:right w:val="nil"/>
            </w:tcBorders>
            <w:shd w:val="clear" w:color="D9E1F2" w:fill="D9E1F2"/>
            <w:noWrap/>
            <w:vAlign w:val="bottom"/>
            <w:hideMark/>
          </w:tcPr>
          <w:p w14:paraId="2F913131" w14:textId="77777777" w:rsidR="00437528" w:rsidRPr="00437528" w:rsidRDefault="00437528" w:rsidP="00437528">
            <w:pPr>
              <w:rPr>
                <w:rFonts w:ascii="Calibri" w:hAnsi="Calibri" w:cs="Calibri"/>
                <w:color w:val="000000"/>
              </w:rPr>
            </w:pPr>
          </w:p>
        </w:tc>
      </w:tr>
      <w:tr w:rsidR="00437528" w:rsidRPr="00437528" w14:paraId="5431F2E8"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auto" w:fill="auto"/>
            <w:noWrap/>
            <w:vAlign w:val="bottom"/>
            <w:hideMark/>
          </w:tcPr>
          <w:p w14:paraId="052AE217" w14:textId="77777777" w:rsidR="00437528" w:rsidRPr="00437528" w:rsidRDefault="00437528" w:rsidP="00437528">
            <w:pPr>
              <w:rPr>
                <w:rFonts w:ascii="Calibri" w:hAnsi="Calibri" w:cs="Calibri"/>
                <w:color w:val="000000"/>
              </w:rPr>
            </w:pPr>
            <w:r w:rsidRPr="00437528">
              <w:rPr>
                <w:rFonts w:ascii="Calibri" w:hAnsi="Calibri" w:cs="Calibri"/>
                <w:color w:val="000000"/>
              </w:rPr>
              <w:t>CHP</w:t>
            </w:r>
          </w:p>
        </w:tc>
        <w:tc>
          <w:tcPr>
            <w:tcW w:w="2620" w:type="dxa"/>
            <w:tcBorders>
              <w:top w:val="single" w:sz="4" w:space="0" w:color="8EA9DB"/>
              <w:left w:val="nil"/>
              <w:bottom w:val="single" w:sz="4" w:space="0" w:color="8EA9DB"/>
              <w:right w:val="nil"/>
            </w:tcBorders>
            <w:shd w:val="clear" w:color="auto" w:fill="auto"/>
            <w:noWrap/>
            <w:vAlign w:val="bottom"/>
            <w:hideMark/>
          </w:tcPr>
          <w:p w14:paraId="59302E26" w14:textId="77777777" w:rsidR="00437528" w:rsidRPr="00437528" w:rsidRDefault="00437528" w:rsidP="00437528">
            <w:pPr>
              <w:rPr>
                <w:rFonts w:ascii="Calibri" w:hAnsi="Calibri" w:cs="Calibri"/>
                <w:color w:val="000000"/>
              </w:rPr>
            </w:pPr>
            <w:r w:rsidRPr="00437528">
              <w:rPr>
                <w:rFonts w:ascii="Calibri" w:hAnsi="Calibri" w:cs="Calibri"/>
                <w:color w:val="000000"/>
              </w:rPr>
              <w:t>Leslie Taylor</w:t>
            </w:r>
          </w:p>
        </w:tc>
        <w:tc>
          <w:tcPr>
            <w:tcW w:w="2580" w:type="dxa"/>
            <w:tcBorders>
              <w:top w:val="single" w:sz="4" w:space="0" w:color="8EA9DB"/>
              <w:left w:val="nil"/>
              <w:bottom w:val="single" w:sz="4" w:space="0" w:color="8EA9DB"/>
              <w:right w:val="nil"/>
            </w:tcBorders>
            <w:shd w:val="clear" w:color="auto" w:fill="auto"/>
            <w:noWrap/>
            <w:vAlign w:val="bottom"/>
            <w:hideMark/>
          </w:tcPr>
          <w:p w14:paraId="28673E93" w14:textId="740D31BF" w:rsidR="00437528" w:rsidRPr="00437528" w:rsidRDefault="00437528" w:rsidP="00437528">
            <w:pPr>
              <w:rPr>
                <w:rFonts w:ascii="Calibri" w:hAnsi="Calibri" w:cs="Calibri"/>
                <w:color w:val="000000"/>
              </w:rPr>
            </w:pPr>
            <w:r w:rsidRPr="00437528">
              <w:rPr>
                <w:rFonts w:ascii="Calibri" w:hAnsi="Calibri" w:cs="Calibri"/>
                <w:color w:val="000000"/>
              </w:rPr>
              <w:t>Laura El</w:t>
            </w:r>
            <w:r>
              <w:rPr>
                <w:rFonts w:ascii="Calibri" w:hAnsi="Calibri" w:cs="Calibri"/>
                <w:color w:val="000000"/>
              </w:rPr>
              <w:t>l</w:t>
            </w:r>
            <w:r w:rsidRPr="00437528">
              <w:rPr>
                <w:rFonts w:ascii="Calibri" w:hAnsi="Calibri" w:cs="Calibri"/>
                <w:color w:val="000000"/>
              </w:rPr>
              <w:t>ison</w:t>
            </w:r>
          </w:p>
        </w:tc>
        <w:tc>
          <w:tcPr>
            <w:tcW w:w="1410" w:type="dxa"/>
            <w:tcBorders>
              <w:top w:val="single" w:sz="4" w:space="0" w:color="8EA9DB"/>
              <w:left w:val="nil"/>
              <w:bottom w:val="single" w:sz="4" w:space="0" w:color="8EA9DB"/>
              <w:right w:val="nil"/>
            </w:tcBorders>
            <w:shd w:val="clear" w:color="auto" w:fill="auto"/>
            <w:noWrap/>
            <w:vAlign w:val="bottom"/>
            <w:hideMark/>
          </w:tcPr>
          <w:p w14:paraId="1BD84DEB" w14:textId="77777777" w:rsidR="00437528" w:rsidRPr="00437528" w:rsidRDefault="00437528" w:rsidP="00437528">
            <w:pPr>
              <w:rPr>
                <w:rFonts w:ascii="Calibri" w:hAnsi="Calibri" w:cs="Calibri"/>
                <w:color w:val="000000"/>
              </w:rPr>
            </w:pPr>
            <w:r w:rsidRPr="00437528">
              <w:rPr>
                <w:rFonts w:ascii="Calibri" w:hAnsi="Calibri" w:cs="Calibri"/>
                <w:color w:val="000000"/>
              </w:rPr>
              <w:t>Lisa Lundquist</w:t>
            </w:r>
          </w:p>
        </w:tc>
      </w:tr>
      <w:tr w:rsidR="00437528" w:rsidRPr="00437528" w14:paraId="41A7C918"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1B409383" w14:textId="77777777" w:rsidR="00437528" w:rsidRPr="00437528" w:rsidRDefault="00437528" w:rsidP="00437528">
            <w:pPr>
              <w:rPr>
                <w:rFonts w:ascii="Calibri" w:hAnsi="Calibri" w:cs="Calibri"/>
                <w:color w:val="000000"/>
              </w:rPr>
            </w:pPr>
            <w:r w:rsidRPr="00437528">
              <w:rPr>
                <w:rFonts w:ascii="Calibri" w:hAnsi="Calibri" w:cs="Calibri"/>
                <w:color w:val="000000"/>
              </w:rPr>
              <w:t>CPV</w:t>
            </w:r>
          </w:p>
        </w:tc>
        <w:tc>
          <w:tcPr>
            <w:tcW w:w="2620" w:type="dxa"/>
            <w:tcBorders>
              <w:top w:val="single" w:sz="4" w:space="0" w:color="8EA9DB"/>
              <w:left w:val="nil"/>
              <w:bottom w:val="single" w:sz="4" w:space="0" w:color="8EA9DB"/>
              <w:right w:val="nil"/>
            </w:tcBorders>
            <w:shd w:val="clear" w:color="D9E1F2" w:fill="D9E1F2"/>
            <w:noWrap/>
            <w:vAlign w:val="bottom"/>
            <w:hideMark/>
          </w:tcPr>
          <w:p w14:paraId="1767CB47" w14:textId="77777777" w:rsidR="00437528" w:rsidRPr="00437528" w:rsidRDefault="00437528" w:rsidP="00437528">
            <w:pPr>
              <w:rPr>
                <w:rFonts w:ascii="Calibri" w:hAnsi="Calibri" w:cs="Calibri"/>
                <w:color w:val="000000"/>
              </w:rPr>
            </w:pPr>
            <w:r w:rsidRPr="00437528">
              <w:rPr>
                <w:rFonts w:ascii="Calibri" w:hAnsi="Calibri" w:cs="Calibri"/>
                <w:color w:val="000000"/>
              </w:rPr>
              <w:t>Gail Johnson</w:t>
            </w:r>
          </w:p>
        </w:tc>
        <w:tc>
          <w:tcPr>
            <w:tcW w:w="2580" w:type="dxa"/>
            <w:tcBorders>
              <w:top w:val="single" w:sz="4" w:space="0" w:color="8EA9DB"/>
              <w:left w:val="nil"/>
              <w:bottom w:val="single" w:sz="4" w:space="0" w:color="8EA9DB"/>
              <w:right w:val="nil"/>
            </w:tcBorders>
            <w:shd w:val="clear" w:color="D9E1F2" w:fill="D9E1F2"/>
            <w:noWrap/>
            <w:vAlign w:val="bottom"/>
            <w:hideMark/>
          </w:tcPr>
          <w:p w14:paraId="03EE2F99" w14:textId="77777777" w:rsidR="00437528" w:rsidRPr="00437528" w:rsidRDefault="00437528" w:rsidP="00437528">
            <w:pPr>
              <w:rPr>
                <w:rFonts w:ascii="Calibri" w:hAnsi="Calibri" w:cs="Calibri"/>
                <w:color w:val="000000"/>
              </w:rPr>
            </w:pPr>
            <w:r w:rsidRPr="00437528">
              <w:rPr>
                <w:rFonts w:ascii="Calibri" w:hAnsi="Calibri" w:cs="Calibri"/>
                <w:color w:val="000000"/>
              </w:rPr>
              <w:t>Colleen Stapleton</w:t>
            </w:r>
          </w:p>
        </w:tc>
        <w:tc>
          <w:tcPr>
            <w:tcW w:w="1410" w:type="dxa"/>
            <w:tcBorders>
              <w:top w:val="single" w:sz="4" w:space="0" w:color="8EA9DB"/>
              <w:left w:val="nil"/>
              <w:bottom w:val="single" w:sz="4" w:space="0" w:color="8EA9DB"/>
              <w:right w:val="nil"/>
            </w:tcBorders>
            <w:shd w:val="clear" w:color="D9E1F2" w:fill="D9E1F2"/>
            <w:noWrap/>
            <w:vAlign w:val="bottom"/>
            <w:hideMark/>
          </w:tcPr>
          <w:p w14:paraId="63A4BB06" w14:textId="77777777" w:rsidR="00437528" w:rsidRPr="00437528" w:rsidRDefault="00437528" w:rsidP="00437528">
            <w:pPr>
              <w:rPr>
                <w:rFonts w:ascii="Calibri" w:hAnsi="Calibri" w:cs="Calibri"/>
                <w:color w:val="000000"/>
              </w:rPr>
            </w:pPr>
          </w:p>
        </w:tc>
      </w:tr>
      <w:tr w:rsidR="00437528" w:rsidRPr="00437528" w14:paraId="6F899C13"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auto" w:fill="auto"/>
            <w:noWrap/>
            <w:vAlign w:val="bottom"/>
            <w:hideMark/>
          </w:tcPr>
          <w:p w14:paraId="5CDA777B" w14:textId="77777777" w:rsidR="00437528" w:rsidRPr="00437528" w:rsidRDefault="00437528" w:rsidP="00437528">
            <w:pPr>
              <w:rPr>
                <w:rFonts w:ascii="Calibri" w:hAnsi="Calibri" w:cs="Calibri"/>
                <w:color w:val="000000"/>
              </w:rPr>
            </w:pPr>
            <w:r w:rsidRPr="00437528">
              <w:rPr>
                <w:rFonts w:ascii="Calibri" w:hAnsi="Calibri" w:cs="Calibri"/>
                <w:color w:val="000000"/>
              </w:rPr>
              <w:t>EGR</w:t>
            </w:r>
          </w:p>
        </w:tc>
        <w:tc>
          <w:tcPr>
            <w:tcW w:w="2620" w:type="dxa"/>
            <w:tcBorders>
              <w:top w:val="single" w:sz="4" w:space="0" w:color="8EA9DB"/>
              <w:left w:val="nil"/>
              <w:bottom w:val="single" w:sz="4" w:space="0" w:color="8EA9DB"/>
              <w:right w:val="nil"/>
            </w:tcBorders>
            <w:shd w:val="clear" w:color="auto" w:fill="auto"/>
            <w:noWrap/>
            <w:vAlign w:val="bottom"/>
            <w:hideMark/>
          </w:tcPr>
          <w:p w14:paraId="44269AC0" w14:textId="77777777" w:rsidR="00437528" w:rsidRPr="00437528" w:rsidRDefault="00437528" w:rsidP="00437528">
            <w:pPr>
              <w:rPr>
                <w:rFonts w:ascii="Calibri" w:hAnsi="Calibri" w:cs="Calibri"/>
                <w:color w:val="000000"/>
              </w:rPr>
            </w:pPr>
            <w:r w:rsidRPr="00437528">
              <w:rPr>
                <w:rFonts w:ascii="Calibri" w:hAnsi="Calibri" w:cs="Calibri"/>
                <w:color w:val="000000"/>
              </w:rPr>
              <w:t>Stephen Hill</w:t>
            </w:r>
          </w:p>
        </w:tc>
        <w:tc>
          <w:tcPr>
            <w:tcW w:w="2580" w:type="dxa"/>
            <w:tcBorders>
              <w:top w:val="single" w:sz="4" w:space="0" w:color="8EA9DB"/>
              <w:left w:val="nil"/>
              <w:bottom w:val="single" w:sz="4" w:space="0" w:color="8EA9DB"/>
              <w:right w:val="nil"/>
            </w:tcBorders>
            <w:shd w:val="clear" w:color="auto" w:fill="auto"/>
            <w:noWrap/>
            <w:vAlign w:val="bottom"/>
            <w:hideMark/>
          </w:tcPr>
          <w:p w14:paraId="180B9543" w14:textId="77777777" w:rsidR="00437528" w:rsidRPr="00437528" w:rsidRDefault="00437528" w:rsidP="00437528">
            <w:pPr>
              <w:rPr>
                <w:rFonts w:ascii="Calibri" w:hAnsi="Calibri" w:cs="Calibri"/>
                <w:color w:val="000000"/>
              </w:rPr>
            </w:pPr>
            <w:r w:rsidRPr="00437528">
              <w:rPr>
                <w:rFonts w:ascii="Calibri" w:hAnsi="Calibri" w:cs="Calibri"/>
                <w:color w:val="000000"/>
              </w:rPr>
              <w:t>Scott Schultz</w:t>
            </w:r>
          </w:p>
        </w:tc>
        <w:tc>
          <w:tcPr>
            <w:tcW w:w="1410" w:type="dxa"/>
            <w:tcBorders>
              <w:top w:val="single" w:sz="4" w:space="0" w:color="8EA9DB"/>
              <w:left w:val="nil"/>
              <w:bottom w:val="single" w:sz="4" w:space="0" w:color="8EA9DB"/>
              <w:right w:val="nil"/>
            </w:tcBorders>
            <w:shd w:val="clear" w:color="auto" w:fill="auto"/>
            <w:noWrap/>
            <w:vAlign w:val="bottom"/>
            <w:hideMark/>
          </w:tcPr>
          <w:p w14:paraId="0F69F932" w14:textId="77777777" w:rsidR="00437528" w:rsidRPr="00437528" w:rsidRDefault="00437528" w:rsidP="00437528">
            <w:pPr>
              <w:rPr>
                <w:rFonts w:ascii="Calibri" w:hAnsi="Calibri" w:cs="Calibri"/>
                <w:color w:val="000000"/>
              </w:rPr>
            </w:pPr>
          </w:p>
        </w:tc>
      </w:tr>
      <w:tr w:rsidR="00437528" w:rsidRPr="00437528" w14:paraId="409D213A"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0D35657D" w14:textId="77777777" w:rsidR="00437528" w:rsidRPr="00437528" w:rsidRDefault="00437528" w:rsidP="00437528">
            <w:pPr>
              <w:rPr>
                <w:rFonts w:ascii="Calibri" w:hAnsi="Calibri" w:cs="Calibri"/>
                <w:color w:val="000000"/>
              </w:rPr>
            </w:pPr>
            <w:r w:rsidRPr="00437528">
              <w:rPr>
                <w:rFonts w:ascii="Calibri" w:hAnsi="Calibri" w:cs="Calibri"/>
                <w:color w:val="000000"/>
              </w:rPr>
              <w:t>THE</w:t>
            </w:r>
          </w:p>
        </w:tc>
        <w:tc>
          <w:tcPr>
            <w:tcW w:w="2620" w:type="dxa"/>
            <w:tcBorders>
              <w:top w:val="single" w:sz="4" w:space="0" w:color="8EA9DB"/>
              <w:left w:val="nil"/>
              <w:bottom w:val="single" w:sz="4" w:space="0" w:color="8EA9DB"/>
              <w:right w:val="nil"/>
            </w:tcBorders>
            <w:shd w:val="clear" w:color="D9E1F2" w:fill="D9E1F2"/>
            <w:noWrap/>
            <w:vAlign w:val="bottom"/>
            <w:hideMark/>
          </w:tcPr>
          <w:p w14:paraId="54832521" w14:textId="77777777" w:rsidR="00437528" w:rsidRPr="00437528" w:rsidRDefault="00437528" w:rsidP="00437528">
            <w:pPr>
              <w:rPr>
                <w:rFonts w:ascii="Calibri" w:hAnsi="Calibri" w:cs="Calibri"/>
                <w:color w:val="000000"/>
              </w:rPr>
            </w:pPr>
            <w:r w:rsidRPr="00437528">
              <w:rPr>
                <w:rFonts w:ascii="Calibri" w:hAnsi="Calibri" w:cs="Calibri"/>
                <w:color w:val="000000"/>
              </w:rPr>
              <w:t>Karen Massey</w:t>
            </w:r>
          </w:p>
        </w:tc>
        <w:tc>
          <w:tcPr>
            <w:tcW w:w="2580" w:type="dxa"/>
            <w:tcBorders>
              <w:top w:val="single" w:sz="4" w:space="0" w:color="8EA9DB"/>
              <w:left w:val="nil"/>
              <w:bottom w:val="single" w:sz="4" w:space="0" w:color="8EA9DB"/>
              <w:right w:val="nil"/>
            </w:tcBorders>
            <w:shd w:val="clear" w:color="D9E1F2" w:fill="D9E1F2"/>
            <w:noWrap/>
            <w:vAlign w:val="bottom"/>
            <w:hideMark/>
          </w:tcPr>
          <w:p w14:paraId="46345015" w14:textId="77777777" w:rsidR="00437528" w:rsidRPr="00437528" w:rsidRDefault="00437528" w:rsidP="00437528">
            <w:pPr>
              <w:rPr>
                <w:rFonts w:ascii="Calibri" w:hAnsi="Calibri" w:cs="Calibri"/>
                <w:color w:val="000000"/>
              </w:rPr>
            </w:pPr>
            <w:r w:rsidRPr="00437528">
              <w:rPr>
                <w:rFonts w:ascii="Calibri" w:hAnsi="Calibri" w:cs="Calibri"/>
                <w:color w:val="000000"/>
              </w:rPr>
              <w:t>Rob Nash</w:t>
            </w:r>
          </w:p>
        </w:tc>
        <w:tc>
          <w:tcPr>
            <w:tcW w:w="1410" w:type="dxa"/>
            <w:tcBorders>
              <w:top w:val="single" w:sz="4" w:space="0" w:color="8EA9DB"/>
              <w:left w:val="nil"/>
              <w:bottom w:val="single" w:sz="4" w:space="0" w:color="8EA9DB"/>
              <w:right w:val="nil"/>
            </w:tcBorders>
            <w:shd w:val="clear" w:color="D9E1F2" w:fill="D9E1F2"/>
            <w:noWrap/>
            <w:vAlign w:val="bottom"/>
            <w:hideMark/>
          </w:tcPr>
          <w:p w14:paraId="5FF12173" w14:textId="77777777" w:rsidR="00437528" w:rsidRPr="00437528" w:rsidRDefault="00437528" w:rsidP="00437528">
            <w:pPr>
              <w:rPr>
                <w:rFonts w:ascii="Calibri" w:hAnsi="Calibri" w:cs="Calibri"/>
                <w:color w:val="000000"/>
              </w:rPr>
            </w:pPr>
          </w:p>
        </w:tc>
      </w:tr>
      <w:tr w:rsidR="00437528" w:rsidRPr="00437528" w14:paraId="73BB3B88"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auto" w:fill="auto"/>
            <w:noWrap/>
            <w:vAlign w:val="bottom"/>
            <w:hideMark/>
          </w:tcPr>
          <w:p w14:paraId="67108FDA" w14:textId="77777777" w:rsidR="00437528" w:rsidRPr="00437528" w:rsidRDefault="00437528" w:rsidP="00437528">
            <w:pPr>
              <w:rPr>
                <w:rFonts w:ascii="Calibri" w:hAnsi="Calibri" w:cs="Calibri"/>
                <w:color w:val="000000"/>
              </w:rPr>
            </w:pPr>
            <w:r w:rsidRPr="00437528">
              <w:rPr>
                <w:rFonts w:ascii="Calibri" w:hAnsi="Calibri" w:cs="Calibri"/>
                <w:color w:val="000000"/>
              </w:rPr>
              <w:t>LAW</w:t>
            </w:r>
          </w:p>
        </w:tc>
        <w:tc>
          <w:tcPr>
            <w:tcW w:w="2620" w:type="dxa"/>
            <w:tcBorders>
              <w:top w:val="single" w:sz="4" w:space="0" w:color="8EA9DB"/>
              <w:left w:val="nil"/>
              <w:bottom w:val="single" w:sz="4" w:space="0" w:color="8EA9DB"/>
              <w:right w:val="nil"/>
            </w:tcBorders>
            <w:shd w:val="clear" w:color="auto" w:fill="auto"/>
            <w:noWrap/>
            <w:vAlign w:val="bottom"/>
            <w:hideMark/>
          </w:tcPr>
          <w:p w14:paraId="016B799D" w14:textId="77777777" w:rsidR="00437528" w:rsidRPr="00437528" w:rsidRDefault="00437528" w:rsidP="00437528">
            <w:pPr>
              <w:rPr>
                <w:rFonts w:ascii="Calibri" w:hAnsi="Calibri" w:cs="Calibri"/>
                <w:color w:val="000000"/>
              </w:rPr>
            </w:pPr>
            <w:r w:rsidRPr="00437528">
              <w:rPr>
                <w:rFonts w:ascii="Calibri" w:hAnsi="Calibri" w:cs="Calibri"/>
                <w:color w:val="000000"/>
              </w:rPr>
              <w:t>Susan Knight</w:t>
            </w:r>
          </w:p>
        </w:tc>
        <w:tc>
          <w:tcPr>
            <w:tcW w:w="2580" w:type="dxa"/>
            <w:tcBorders>
              <w:top w:val="single" w:sz="4" w:space="0" w:color="8EA9DB"/>
              <w:left w:val="nil"/>
              <w:bottom w:val="single" w:sz="4" w:space="0" w:color="8EA9DB"/>
              <w:right w:val="nil"/>
            </w:tcBorders>
            <w:shd w:val="clear" w:color="auto" w:fill="auto"/>
            <w:noWrap/>
            <w:vAlign w:val="bottom"/>
            <w:hideMark/>
          </w:tcPr>
          <w:p w14:paraId="1325203B" w14:textId="77777777" w:rsidR="00437528" w:rsidRPr="00437528" w:rsidRDefault="00437528" w:rsidP="00437528">
            <w:pPr>
              <w:rPr>
                <w:rFonts w:ascii="Calibri" w:hAnsi="Calibri" w:cs="Calibri"/>
                <w:color w:val="000000"/>
              </w:rPr>
            </w:pPr>
            <w:r w:rsidRPr="00437528">
              <w:rPr>
                <w:rFonts w:ascii="Calibri" w:hAnsi="Calibri" w:cs="Calibri"/>
                <w:color w:val="000000"/>
              </w:rPr>
              <w:t>Sarah Gerwig-Moore</w:t>
            </w:r>
          </w:p>
        </w:tc>
        <w:tc>
          <w:tcPr>
            <w:tcW w:w="1410" w:type="dxa"/>
            <w:tcBorders>
              <w:top w:val="single" w:sz="4" w:space="0" w:color="8EA9DB"/>
              <w:left w:val="nil"/>
              <w:bottom w:val="single" w:sz="4" w:space="0" w:color="8EA9DB"/>
              <w:right w:val="nil"/>
            </w:tcBorders>
            <w:shd w:val="clear" w:color="auto" w:fill="auto"/>
            <w:noWrap/>
            <w:vAlign w:val="bottom"/>
            <w:hideMark/>
          </w:tcPr>
          <w:p w14:paraId="125220A6" w14:textId="77777777" w:rsidR="00437528" w:rsidRPr="00437528" w:rsidRDefault="00437528" w:rsidP="00437528">
            <w:pPr>
              <w:rPr>
                <w:rFonts w:ascii="Calibri" w:hAnsi="Calibri" w:cs="Calibri"/>
                <w:color w:val="000000"/>
              </w:rPr>
            </w:pPr>
          </w:p>
        </w:tc>
      </w:tr>
      <w:tr w:rsidR="00437528" w:rsidRPr="00437528" w14:paraId="6AE663F8" w14:textId="77777777" w:rsidTr="00437528">
        <w:trPr>
          <w:trHeight w:val="320"/>
        </w:trPr>
        <w:tc>
          <w:tcPr>
            <w:tcW w:w="2580" w:type="dxa"/>
            <w:tcBorders>
              <w:top w:val="single" w:sz="4" w:space="0" w:color="8EA9DB"/>
              <w:left w:val="single" w:sz="4" w:space="0" w:color="8EA9DB"/>
              <w:bottom w:val="single" w:sz="4" w:space="0" w:color="8EA9DB"/>
              <w:right w:val="nil"/>
            </w:tcBorders>
            <w:shd w:val="clear" w:color="D9E1F2" w:fill="D9E1F2"/>
            <w:noWrap/>
            <w:vAlign w:val="bottom"/>
            <w:hideMark/>
          </w:tcPr>
          <w:p w14:paraId="70E7D3F1" w14:textId="77777777" w:rsidR="00437528" w:rsidRPr="00437528" w:rsidRDefault="00437528" w:rsidP="00437528">
            <w:pPr>
              <w:rPr>
                <w:rFonts w:ascii="Calibri" w:hAnsi="Calibri" w:cs="Calibri"/>
                <w:color w:val="000000"/>
              </w:rPr>
            </w:pPr>
            <w:r w:rsidRPr="00437528">
              <w:rPr>
                <w:rFonts w:ascii="Calibri" w:hAnsi="Calibri" w:cs="Calibri"/>
                <w:color w:val="000000"/>
              </w:rPr>
              <w:t>Provost</w:t>
            </w:r>
          </w:p>
        </w:tc>
        <w:tc>
          <w:tcPr>
            <w:tcW w:w="2620" w:type="dxa"/>
            <w:tcBorders>
              <w:top w:val="single" w:sz="4" w:space="0" w:color="8EA9DB"/>
              <w:left w:val="nil"/>
              <w:bottom w:val="single" w:sz="4" w:space="0" w:color="8EA9DB"/>
              <w:right w:val="nil"/>
            </w:tcBorders>
            <w:shd w:val="clear" w:color="D9E1F2" w:fill="D9E1F2"/>
            <w:noWrap/>
            <w:vAlign w:val="bottom"/>
            <w:hideMark/>
          </w:tcPr>
          <w:p w14:paraId="08BAACA1" w14:textId="77777777" w:rsidR="00437528" w:rsidRPr="00437528" w:rsidRDefault="00437528" w:rsidP="00437528">
            <w:pPr>
              <w:rPr>
                <w:rFonts w:ascii="Calibri" w:hAnsi="Calibri" w:cs="Calibri"/>
                <w:color w:val="000000"/>
              </w:rPr>
            </w:pPr>
            <w:r w:rsidRPr="00437528">
              <w:rPr>
                <w:rFonts w:ascii="Calibri" w:hAnsi="Calibri" w:cs="Calibri"/>
                <w:color w:val="000000"/>
              </w:rPr>
              <w:t>Keith Howard</w:t>
            </w:r>
          </w:p>
        </w:tc>
        <w:tc>
          <w:tcPr>
            <w:tcW w:w="2580" w:type="dxa"/>
            <w:tcBorders>
              <w:top w:val="single" w:sz="4" w:space="0" w:color="8EA9DB"/>
              <w:left w:val="nil"/>
              <w:bottom w:val="single" w:sz="4" w:space="0" w:color="8EA9DB"/>
              <w:right w:val="nil"/>
            </w:tcBorders>
            <w:shd w:val="clear" w:color="D9E1F2" w:fill="D9E1F2"/>
            <w:noWrap/>
            <w:vAlign w:val="bottom"/>
            <w:hideMark/>
          </w:tcPr>
          <w:p w14:paraId="7C7D5B80" w14:textId="77777777" w:rsidR="00437528" w:rsidRPr="00437528" w:rsidRDefault="00437528" w:rsidP="00437528">
            <w:pPr>
              <w:rPr>
                <w:rFonts w:ascii="Calibri" w:hAnsi="Calibri" w:cs="Calibri"/>
                <w:color w:val="000000"/>
              </w:rPr>
            </w:pPr>
            <w:r w:rsidRPr="00437528">
              <w:rPr>
                <w:rFonts w:ascii="Calibri" w:hAnsi="Calibri" w:cs="Calibri"/>
                <w:color w:val="000000"/>
              </w:rPr>
              <w:t>Susan Malone</w:t>
            </w:r>
          </w:p>
        </w:tc>
        <w:tc>
          <w:tcPr>
            <w:tcW w:w="1410" w:type="dxa"/>
            <w:tcBorders>
              <w:top w:val="single" w:sz="4" w:space="0" w:color="8EA9DB"/>
              <w:left w:val="nil"/>
              <w:bottom w:val="single" w:sz="4" w:space="0" w:color="8EA9DB"/>
              <w:right w:val="nil"/>
            </w:tcBorders>
            <w:shd w:val="clear" w:color="D9E1F2" w:fill="D9E1F2"/>
            <w:noWrap/>
            <w:vAlign w:val="bottom"/>
            <w:hideMark/>
          </w:tcPr>
          <w:p w14:paraId="702C347C" w14:textId="77777777" w:rsidR="00437528" w:rsidRPr="00437528" w:rsidRDefault="00437528" w:rsidP="00437528">
            <w:pPr>
              <w:rPr>
                <w:rFonts w:ascii="Calibri" w:hAnsi="Calibri" w:cs="Calibri"/>
                <w:color w:val="000000"/>
              </w:rPr>
            </w:pPr>
          </w:p>
        </w:tc>
      </w:tr>
    </w:tbl>
    <w:p w14:paraId="4D1F874C" w14:textId="1B689D74" w:rsidR="004B2DDE" w:rsidRDefault="004B2DDE" w:rsidP="00437528">
      <w:pPr>
        <w:pStyle w:val="NormalWeb"/>
        <w:shd w:val="clear" w:color="auto" w:fill="FFFFFF"/>
      </w:pPr>
    </w:p>
    <w:p w14:paraId="176D1CD2" w14:textId="089BC542" w:rsidR="00DE681C" w:rsidRPr="00CE0FAB" w:rsidRDefault="00DE681C" w:rsidP="00437528">
      <w:pPr>
        <w:pStyle w:val="NormalWeb"/>
        <w:shd w:val="clear" w:color="auto" w:fill="FFFFFF"/>
        <w:rPr>
          <w:b/>
          <w:sz w:val="28"/>
          <w:szCs w:val="28"/>
        </w:rPr>
      </w:pPr>
      <w:r w:rsidRPr="00CE0FAB">
        <w:rPr>
          <w:b/>
          <w:sz w:val="28"/>
          <w:szCs w:val="28"/>
        </w:rPr>
        <w:t>Available Reports</w:t>
      </w:r>
    </w:p>
    <w:p w14:paraId="57310EA7" w14:textId="6F04D9F2" w:rsidR="00DE681C" w:rsidRDefault="00DE681C" w:rsidP="00437528">
      <w:pPr>
        <w:pStyle w:val="NormalWeb"/>
        <w:shd w:val="clear" w:color="auto" w:fill="FFFFFF"/>
      </w:pPr>
      <w:r w:rsidRPr="00DE681C">
        <w:rPr>
          <w:b/>
        </w:rPr>
        <w:t>Program Rank</w:t>
      </w:r>
      <w:r>
        <w:t xml:space="preserve">- A scored ranking of academic programs by CIP. Rankings are summed across four major sub categories. </w:t>
      </w:r>
    </w:p>
    <w:p w14:paraId="4B2A5689" w14:textId="72F4CC4D" w:rsidR="00DE681C" w:rsidRDefault="00DE681C">
      <w:r>
        <w:rPr>
          <w:noProof/>
        </w:rPr>
        <w:drawing>
          <wp:inline distT="0" distB="0" distL="0" distR="0" wp14:anchorId="344E94DE" wp14:editId="1263BE34">
            <wp:extent cx="7040880" cy="2914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9-24 11.02.14.png"/>
                    <pic:cNvPicPr/>
                  </pic:nvPicPr>
                  <pic:blipFill>
                    <a:blip r:embed="rId5">
                      <a:extLst>
                        <a:ext uri="{28A0092B-C50C-407E-A947-70E740481C1C}">
                          <a14:useLocalDpi xmlns:a14="http://schemas.microsoft.com/office/drawing/2010/main" val="0"/>
                        </a:ext>
                      </a:extLst>
                    </a:blip>
                    <a:stretch>
                      <a:fillRect/>
                    </a:stretch>
                  </pic:blipFill>
                  <pic:spPr>
                    <a:xfrm>
                      <a:off x="0" y="0"/>
                      <a:ext cx="7040880" cy="2914650"/>
                    </a:xfrm>
                    <a:prstGeom prst="rect">
                      <a:avLst/>
                    </a:prstGeom>
                  </pic:spPr>
                </pic:pic>
              </a:graphicData>
            </a:graphic>
          </wp:inline>
        </w:drawing>
      </w:r>
    </w:p>
    <w:p w14:paraId="19BF887F" w14:textId="77777777" w:rsidR="00CE0FAB" w:rsidRDefault="00CE0FAB">
      <w:pPr>
        <w:rPr>
          <w:b/>
        </w:rPr>
      </w:pPr>
    </w:p>
    <w:p w14:paraId="5C5C8968" w14:textId="1974326F" w:rsidR="00DE681C" w:rsidRDefault="00DE681C">
      <w:pPr>
        <w:rPr>
          <w:b/>
        </w:rPr>
      </w:pPr>
      <w:r w:rsidRPr="00DE681C">
        <w:rPr>
          <w:b/>
        </w:rPr>
        <w:lastRenderedPageBreak/>
        <w:t>Program Scoreboard-</w:t>
      </w:r>
      <w:r>
        <w:rPr>
          <w:b/>
        </w:rPr>
        <w:t xml:space="preserve"> </w:t>
      </w:r>
      <w:r w:rsidRPr="00DE681C">
        <w:t>Detailed overview of the scoring metrics from each of the four major categories. The values on these categories are the important data metrics, not the score. The score is a combination of Gray and Mercer set priorities assigned to develop a market ranking system.  CIP description is included.</w:t>
      </w:r>
      <w:r>
        <w:rPr>
          <w:b/>
        </w:rPr>
        <w:t xml:space="preserve"> </w:t>
      </w:r>
    </w:p>
    <w:p w14:paraId="6245CEB9" w14:textId="77777777" w:rsidR="008C0037" w:rsidRDefault="00DE681C">
      <w:pPr>
        <w:rPr>
          <w:b/>
        </w:rPr>
      </w:pPr>
      <w:r>
        <w:rPr>
          <w:b/>
          <w:noProof/>
        </w:rPr>
        <w:drawing>
          <wp:inline distT="0" distB="0" distL="0" distR="0" wp14:anchorId="25564EA8" wp14:editId="7C318B69">
            <wp:extent cx="6667130" cy="38115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9-24 11.04.01.png"/>
                    <pic:cNvPicPr/>
                  </pic:nvPicPr>
                  <pic:blipFill>
                    <a:blip r:embed="rId6">
                      <a:extLst>
                        <a:ext uri="{28A0092B-C50C-407E-A947-70E740481C1C}">
                          <a14:useLocalDpi xmlns:a14="http://schemas.microsoft.com/office/drawing/2010/main" val="0"/>
                        </a:ext>
                      </a:extLst>
                    </a:blip>
                    <a:stretch>
                      <a:fillRect/>
                    </a:stretch>
                  </pic:blipFill>
                  <pic:spPr>
                    <a:xfrm>
                      <a:off x="0" y="0"/>
                      <a:ext cx="6681697" cy="3819920"/>
                    </a:xfrm>
                    <a:prstGeom prst="rect">
                      <a:avLst/>
                    </a:prstGeom>
                  </pic:spPr>
                </pic:pic>
              </a:graphicData>
            </a:graphic>
          </wp:inline>
        </w:drawing>
      </w:r>
    </w:p>
    <w:p w14:paraId="6534A3FE" w14:textId="77777777" w:rsidR="008C0037" w:rsidRDefault="008C0037">
      <w:pPr>
        <w:rPr>
          <w:b/>
        </w:rPr>
      </w:pPr>
    </w:p>
    <w:p w14:paraId="17CCD6D5" w14:textId="71D5D91D" w:rsidR="00A7559C" w:rsidRDefault="008C0037">
      <w:r>
        <w:rPr>
          <w:b/>
        </w:rPr>
        <w:t xml:space="preserve">Award Level Breakdown </w:t>
      </w:r>
      <w:r w:rsidR="00A7559C">
        <w:rPr>
          <w:b/>
        </w:rPr>
        <w:t xml:space="preserve">by Source </w:t>
      </w:r>
      <w:r>
        <w:rPr>
          <w:b/>
        </w:rPr>
        <w:t xml:space="preserve">(Inquiries and Completions)- </w:t>
      </w:r>
      <w:r w:rsidR="00A7559C" w:rsidRPr="00A7559C">
        <w:t>Distribution of inquiries and completions</w:t>
      </w:r>
      <w:r w:rsidR="00A7559C">
        <w:t>, job postings, and workforce</w:t>
      </w:r>
      <w:r w:rsidR="00A7559C" w:rsidRPr="00A7559C">
        <w:t xml:space="preserve"> by award level.</w:t>
      </w:r>
    </w:p>
    <w:p w14:paraId="33F72CFD" w14:textId="77777777" w:rsidR="00A7559C" w:rsidRDefault="00A7559C"/>
    <w:p w14:paraId="6E900061" w14:textId="28FD6BCD" w:rsidR="00A7559C" w:rsidRPr="00A7559C" w:rsidRDefault="00A7559C">
      <w:r>
        <w:rPr>
          <w:noProof/>
        </w:rPr>
        <w:drawing>
          <wp:inline distT="0" distB="0" distL="0" distR="0" wp14:anchorId="1D1D72BD" wp14:editId="395B0918">
            <wp:extent cx="6620992" cy="1081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09-24 11.11.37.png"/>
                    <pic:cNvPicPr/>
                  </pic:nvPicPr>
                  <pic:blipFill>
                    <a:blip r:embed="rId7">
                      <a:extLst>
                        <a:ext uri="{28A0092B-C50C-407E-A947-70E740481C1C}">
                          <a14:useLocalDpi xmlns:a14="http://schemas.microsoft.com/office/drawing/2010/main" val="0"/>
                        </a:ext>
                      </a:extLst>
                    </a:blip>
                    <a:stretch>
                      <a:fillRect/>
                    </a:stretch>
                  </pic:blipFill>
                  <pic:spPr>
                    <a:xfrm>
                      <a:off x="0" y="0"/>
                      <a:ext cx="6682428" cy="1091439"/>
                    </a:xfrm>
                    <a:prstGeom prst="rect">
                      <a:avLst/>
                    </a:prstGeom>
                  </pic:spPr>
                </pic:pic>
              </a:graphicData>
            </a:graphic>
          </wp:inline>
        </w:drawing>
      </w:r>
    </w:p>
    <w:p w14:paraId="1E8C4A3F" w14:textId="24CB934B" w:rsidR="00A7559C" w:rsidRDefault="00A7559C">
      <w:pPr>
        <w:rPr>
          <w:b/>
        </w:rPr>
      </w:pPr>
    </w:p>
    <w:p w14:paraId="7FF57313" w14:textId="7AA3414D" w:rsidR="00A7559C" w:rsidRPr="00A7559C" w:rsidRDefault="00CE0FAB">
      <w:r w:rsidRPr="00CE0FAB">
        <w:rPr>
          <w:b/>
        </w:rPr>
        <w:t>Scaled Market Matrix</w:t>
      </w:r>
      <w:r w:rsidR="00FC5B6E">
        <w:rPr>
          <w:b/>
        </w:rPr>
        <w:t>-</w:t>
      </w:r>
      <w:r>
        <w:t xml:space="preserve"> Scores by Program and Market- Similar to Program Rank but with cross-comparisons across markets </w:t>
      </w:r>
    </w:p>
    <w:p w14:paraId="300D8E72" w14:textId="77777777" w:rsidR="00CE0FAB" w:rsidRDefault="00CE0FAB">
      <w:pPr>
        <w:rPr>
          <w:b/>
        </w:rPr>
      </w:pPr>
      <w:r>
        <w:rPr>
          <w:b/>
          <w:noProof/>
        </w:rPr>
        <w:drawing>
          <wp:inline distT="0" distB="0" distL="0" distR="0" wp14:anchorId="012AB156" wp14:editId="7D0F325E">
            <wp:extent cx="6707034" cy="181104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9-24 11.26.00.png"/>
                    <pic:cNvPicPr/>
                  </pic:nvPicPr>
                  <pic:blipFill>
                    <a:blip r:embed="rId8">
                      <a:extLst>
                        <a:ext uri="{28A0092B-C50C-407E-A947-70E740481C1C}">
                          <a14:useLocalDpi xmlns:a14="http://schemas.microsoft.com/office/drawing/2010/main" val="0"/>
                        </a:ext>
                      </a:extLst>
                    </a:blip>
                    <a:stretch>
                      <a:fillRect/>
                    </a:stretch>
                  </pic:blipFill>
                  <pic:spPr>
                    <a:xfrm>
                      <a:off x="0" y="0"/>
                      <a:ext cx="6733437" cy="1818174"/>
                    </a:xfrm>
                    <a:prstGeom prst="rect">
                      <a:avLst/>
                    </a:prstGeom>
                  </pic:spPr>
                </pic:pic>
              </a:graphicData>
            </a:graphic>
          </wp:inline>
        </w:drawing>
      </w:r>
    </w:p>
    <w:p w14:paraId="10253740" w14:textId="77777777" w:rsidR="00CE0FAB" w:rsidRDefault="00CE0FAB">
      <w:pPr>
        <w:rPr>
          <w:b/>
        </w:rPr>
      </w:pPr>
    </w:p>
    <w:p w14:paraId="75E4FC61" w14:textId="3DD32293" w:rsidR="00CE0FAB" w:rsidRDefault="00CE0FAB">
      <w:pPr>
        <w:rPr>
          <w:b/>
        </w:rPr>
      </w:pPr>
      <w:r>
        <w:rPr>
          <w:b/>
        </w:rPr>
        <w:t xml:space="preserve">Competitor Table- </w:t>
      </w:r>
      <w:r w:rsidRPr="00CE0FAB">
        <w:t>Identifies competitors with program completions by market and award level.  Competitors may be identified CIP, academic unit, or overall market.</w:t>
      </w:r>
      <w:r>
        <w:rPr>
          <w:b/>
        </w:rPr>
        <w:t xml:space="preserve">  </w:t>
      </w:r>
    </w:p>
    <w:p w14:paraId="6F2F445B" w14:textId="77777777" w:rsidR="00CE0FAB" w:rsidRDefault="00CE0FAB">
      <w:pPr>
        <w:rPr>
          <w:b/>
        </w:rPr>
      </w:pPr>
      <w:r>
        <w:rPr>
          <w:b/>
          <w:noProof/>
        </w:rPr>
        <w:drawing>
          <wp:inline distT="0" distB="0" distL="0" distR="0" wp14:anchorId="1C384240" wp14:editId="33386D50">
            <wp:extent cx="7040880" cy="2874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9-24 11.33.05.png"/>
                    <pic:cNvPicPr/>
                  </pic:nvPicPr>
                  <pic:blipFill>
                    <a:blip r:embed="rId9">
                      <a:extLst>
                        <a:ext uri="{28A0092B-C50C-407E-A947-70E740481C1C}">
                          <a14:useLocalDpi xmlns:a14="http://schemas.microsoft.com/office/drawing/2010/main" val="0"/>
                        </a:ext>
                      </a:extLst>
                    </a:blip>
                    <a:stretch>
                      <a:fillRect/>
                    </a:stretch>
                  </pic:blipFill>
                  <pic:spPr>
                    <a:xfrm>
                      <a:off x="0" y="0"/>
                      <a:ext cx="7040880" cy="2874010"/>
                    </a:xfrm>
                    <a:prstGeom prst="rect">
                      <a:avLst/>
                    </a:prstGeom>
                  </pic:spPr>
                </pic:pic>
              </a:graphicData>
            </a:graphic>
          </wp:inline>
        </w:drawing>
      </w:r>
    </w:p>
    <w:p w14:paraId="545501F3" w14:textId="77777777" w:rsidR="00CE0FAB" w:rsidRDefault="00CE0FAB">
      <w:pPr>
        <w:rPr>
          <w:b/>
        </w:rPr>
      </w:pPr>
    </w:p>
    <w:p w14:paraId="6E842EB2" w14:textId="679C1B68" w:rsidR="008054C4" w:rsidRDefault="00CE0FAB">
      <w:pPr>
        <w:rPr>
          <w:b/>
        </w:rPr>
      </w:pPr>
      <w:r>
        <w:rPr>
          <w:b/>
        </w:rPr>
        <w:t>Data Tables</w:t>
      </w:r>
      <w:r w:rsidR="00FC5B6E">
        <w:rPr>
          <w:b/>
        </w:rPr>
        <w:t>-</w:t>
      </w:r>
      <w:r>
        <w:rPr>
          <w:b/>
        </w:rPr>
        <w:t xml:space="preserve"> </w:t>
      </w:r>
      <w:r w:rsidR="008054C4" w:rsidRPr="008054C4">
        <w:t>Individual</w:t>
      </w:r>
      <w:r w:rsidR="008054C4">
        <w:rPr>
          <w:b/>
        </w:rPr>
        <w:t xml:space="preserve"> </w:t>
      </w:r>
      <w:r w:rsidR="008054C4" w:rsidRPr="00FC5B6E">
        <w:t>tables of data across metrics may be developed. Data categories include</w:t>
      </w:r>
      <w:r w:rsidR="00FC5B6E">
        <w:t>:</w:t>
      </w:r>
    </w:p>
    <w:p w14:paraId="358AF300" w14:textId="4DFEDC23" w:rsidR="008054C4" w:rsidRPr="00FC5B6E" w:rsidRDefault="008054C4" w:rsidP="008054C4">
      <w:pPr>
        <w:ind w:left="720"/>
      </w:pPr>
      <w:r w:rsidRPr="00FC5B6E">
        <w:rPr>
          <w:b/>
        </w:rPr>
        <w:t>Student Demand:</w:t>
      </w:r>
      <w:r w:rsidRPr="00FC5B6E">
        <w:t xml:space="preserve"> Inquiries (Total, Prior Year, YoY unit, YoY %), Google Searches (Total, YoY unit, YoY %), IPEDS Completions (Total, YoY unit, YoY %)</w:t>
      </w:r>
    </w:p>
    <w:p w14:paraId="3021F8EB" w14:textId="4CF55B43" w:rsidR="008054C4" w:rsidRPr="00FC5B6E" w:rsidRDefault="008054C4" w:rsidP="008054C4">
      <w:pPr>
        <w:ind w:left="720"/>
      </w:pPr>
      <w:r w:rsidRPr="00FC5B6E">
        <w:rPr>
          <w:b/>
        </w:rPr>
        <w:t>Employment Opportunity:</w:t>
      </w:r>
      <w:r w:rsidRPr="00FC5B6E">
        <w:t xml:space="preserve"> Job Postings (Total, YoY unit, YoY %), BLS Direct Prep Jobs (Current, YoY %, 3 yr growth, 5</w:t>
      </w:r>
      <w:r w:rsidR="00AA3326" w:rsidRPr="00FC5B6E">
        <w:t>-</w:t>
      </w:r>
      <w:r w:rsidRPr="00FC5B6E">
        <w:t>year growth, 10-year for</w:t>
      </w:r>
      <w:r w:rsidR="00AA3326" w:rsidRPr="00FC5B6E">
        <w:t>e</w:t>
      </w:r>
      <w:r w:rsidRPr="00FC5B6E">
        <w:t>cast</w:t>
      </w:r>
      <w:r w:rsidR="00AA3326" w:rsidRPr="00FC5B6E">
        <w:t>, future employment, replacement jobs, annual openings, openings per graduate, 10</w:t>
      </w:r>
      <w:r w:rsidR="00AA3326" w:rsidRPr="00FC5B6E">
        <w:rPr>
          <w:vertAlign w:val="superscript"/>
        </w:rPr>
        <w:t>th</w:t>
      </w:r>
      <w:r w:rsidR="00AA3326" w:rsidRPr="00FC5B6E">
        <w:t xml:space="preserve"> % wages, 25</w:t>
      </w:r>
      <w:r w:rsidR="00AA3326" w:rsidRPr="00FC5B6E">
        <w:rPr>
          <w:vertAlign w:val="superscript"/>
        </w:rPr>
        <w:t>th</w:t>
      </w:r>
      <w:r w:rsidR="00AA3326" w:rsidRPr="00FC5B6E">
        <w:t xml:space="preserve"> % wages, share of generalist jobs, share of generalist openings), National ACS (Bachelors) (Wages &lt;30, Wages 30-60, % Grad Degree, % Masters, % Doc/Prof Deg, % Unemployment  &lt;30, % Unemployment  30-60, % Direct Prep), Gainful Employment (Assoc &amp; Cert) (Wages, Placement Rates)</w:t>
      </w:r>
    </w:p>
    <w:p w14:paraId="4C133446" w14:textId="77777777" w:rsidR="00AA3326" w:rsidRPr="00FC5B6E" w:rsidRDefault="008054C4" w:rsidP="008054C4">
      <w:pPr>
        <w:ind w:left="720"/>
      </w:pPr>
      <w:r w:rsidRPr="00FC5B6E">
        <w:rPr>
          <w:b/>
        </w:rPr>
        <w:t>Degree Fit:</w:t>
      </w:r>
      <w:r w:rsidRPr="00FC5B6E">
        <w:t xml:space="preserve"> Inquiries(Market) by award level, Completion</w:t>
      </w:r>
      <w:r w:rsidR="00AA3326" w:rsidRPr="00FC5B6E">
        <w:t>s</w:t>
      </w:r>
      <w:r w:rsidRPr="00FC5B6E">
        <w:t xml:space="preserve">(Market) by award level, Job Postings(Market) by award level, BLS Workforce Educational Attainment by award level, Cost Benchmarks (NHEBI National 2-Yr) </w:t>
      </w:r>
    </w:p>
    <w:p w14:paraId="49330510" w14:textId="39D8A0F9" w:rsidR="00FC5B6E" w:rsidRDefault="00AA3326" w:rsidP="008054C4">
      <w:pPr>
        <w:ind w:left="720"/>
      </w:pPr>
      <w:r w:rsidRPr="00FC5B6E">
        <w:rPr>
          <w:b/>
        </w:rPr>
        <w:t>Competitive Intensity:</w:t>
      </w:r>
      <w:r w:rsidRPr="00FC5B6E">
        <w:t xml:space="preserve"> IPEDS Institutions (# Campuses, YoY units, # private for-profit, # private non-profit, # public) Market Saturation (Completions per 1000pop), Inquiries (Ave Cost per inquiry</w:t>
      </w:r>
      <w:r w:rsidR="00280AEE" w:rsidRPr="00FC5B6E">
        <w:t>), Google Searches (Cost per click, Competition Index)</w:t>
      </w:r>
      <w:r w:rsidR="007D7020" w:rsidRPr="00FC5B6E">
        <w:t xml:space="preserve">, </w:t>
      </w:r>
      <w:r w:rsidR="00FC5B6E" w:rsidRPr="00FC5B6E">
        <w:t>Program Size (Ave Completions per Institution, Median Completions per Institution, YoY unit, YoY %), Online Competition (# Campuses, % of Institutions, Online Completions, % of Completions), IPEDS Online Completions</w:t>
      </w:r>
    </w:p>
    <w:p w14:paraId="46A4462D" w14:textId="2724FE65" w:rsidR="00FC5B6E" w:rsidRDefault="00FC5B6E" w:rsidP="008054C4">
      <w:pPr>
        <w:ind w:left="720"/>
      </w:pPr>
    </w:p>
    <w:p w14:paraId="51403E8F" w14:textId="28ACD3EF" w:rsidR="00FC5B6E" w:rsidRDefault="00FC5B6E" w:rsidP="008054C4">
      <w:pPr>
        <w:ind w:left="720"/>
      </w:pPr>
    </w:p>
    <w:p w14:paraId="094B4574" w14:textId="1C32D44E" w:rsidR="00FC5B6E" w:rsidRDefault="00FC5B6E" w:rsidP="00FC5B6E">
      <w:r>
        <w:t xml:space="preserve">Workplace Requirements: </w:t>
      </w:r>
      <w:r w:rsidR="004356E3">
        <w:t>Provide ranked lists of abilities, activities, knowledges, occupations, skills, tools, and behaviors associated with the CIP.  Information in these categories is more comprehensive for direct prep CIPs.</w:t>
      </w:r>
    </w:p>
    <w:p w14:paraId="10179BDF" w14:textId="77777777" w:rsidR="00FC5B6E" w:rsidRDefault="00FC5B6E" w:rsidP="008054C4">
      <w:pPr>
        <w:ind w:left="720"/>
        <w:rPr>
          <w:b/>
        </w:rPr>
      </w:pPr>
    </w:p>
    <w:p w14:paraId="097FB83F" w14:textId="449CDDF9" w:rsidR="00FC5B6E" w:rsidRDefault="00FC5B6E" w:rsidP="00FC5B6E">
      <w:pPr>
        <w:rPr>
          <w:b/>
        </w:rPr>
      </w:pPr>
      <w:r>
        <w:rPr>
          <w:b/>
          <w:noProof/>
        </w:rPr>
        <w:drawing>
          <wp:inline distT="0" distB="0" distL="0" distR="0" wp14:anchorId="50FC6A61" wp14:editId="73198D2F">
            <wp:extent cx="6533965" cy="15050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9-24 14.04.43.png"/>
                    <pic:cNvPicPr/>
                  </pic:nvPicPr>
                  <pic:blipFill>
                    <a:blip r:embed="rId10">
                      <a:extLst>
                        <a:ext uri="{28A0092B-C50C-407E-A947-70E740481C1C}">
                          <a14:useLocalDpi xmlns:a14="http://schemas.microsoft.com/office/drawing/2010/main" val="0"/>
                        </a:ext>
                      </a:extLst>
                    </a:blip>
                    <a:stretch>
                      <a:fillRect/>
                    </a:stretch>
                  </pic:blipFill>
                  <pic:spPr>
                    <a:xfrm>
                      <a:off x="0" y="0"/>
                      <a:ext cx="6563712" cy="1511879"/>
                    </a:xfrm>
                    <a:prstGeom prst="rect">
                      <a:avLst/>
                    </a:prstGeom>
                  </pic:spPr>
                </pic:pic>
              </a:graphicData>
            </a:graphic>
          </wp:inline>
        </w:drawing>
      </w:r>
    </w:p>
    <w:p w14:paraId="436F77BD" w14:textId="563DDEFA" w:rsidR="004B2DDE" w:rsidRPr="00DE681C" w:rsidRDefault="004B2DDE" w:rsidP="008054C4">
      <w:pPr>
        <w:ind w:left="720"/>
        <w:rPr>
          <w:rFonts w:asciiTheme="minorHAnsi" w:hAnsiTheme="minorHAnsi" w:cstheme="minorHAnsi"/>
          <w:b/>
        </w:rPr>
      </w:pPr>
      <w:r w:rsidRPr="00DE681C">
        <w:rPr>
          <w:b/>
        </w:rPr>
        <w:br w:type="page"/>
      </w:r>
    </w:p>
    <w:p w14:paraId="778EB097" w14:textId="62326C3E" w:rsidR="00212D7A" w:rsidRPr="00986F86" w:rsidRDefault="00212D7A" w:rsidP="00212D7A">
      <w:pPr>
        <w:pStyle w:val="Heading1"/>
      </w:pPr>
      <w:r w:rsidRPr="00986F86">
        <w:t>Tables from Gray Associates Program Evaluation System</w:t>
      </w:r>
    </w:p>
    <w:p w14:paraId="38198D50" w14:textId="77777777" w:rsidR="00212D7A" w:rsidRPr="00986F86" w:rsidRDefault="00212D7A" w:rsidP="00212D7A">
      <w:pPr>
        <w:rPr>
          <w:rFonts w:asciiTheme="minorHAnsi" w:hAnsiTheme="minorHAnsi" w:cstheme="minorHAnsi"/>
        </w:rPr>
      </w:pPr>
      <w:r w:rsidRPr="00986F86">
        <w:rPr>
          <w:rFonts w:asciiTheme="minorHAnsi" w:hAnsiTheme="minorHAnsi" w:cstheme="minorHAnsi"/>
        </w:rPr>
        <w:t>[Each school/college should have someone who has access to the Gray system and has been trained to create and extract these tables for you.]</w:t>
      </w:r>
    </w:p>
    <w:p w14:paraId="474F04AA" w14:textId="77777777" w:rsidR="00212D7A" w:rsidRPr="00986F86" w:rsidRDefault="00212D7A" w:rsidP="00212D7A">
      <w:pPr>
        <w:rPr>
          <w:rFonts w:asciiTheme="minorHAnsi" w:hAnsiTheme="minorHAnsi" w:cstheme="minorHAnsi"/>
        </w:rPr>
      </w:pPr>
    </w:p>
    <w:p w14:paraId="3D72B5FD" w14:textId="77777777" w:rsidR="00212D7A" w:rsidRPr="00986F86" w:rsidRDefault="00212D7A" w:rsidP="00212D7A">
      <w:pPr>
        <w:rPr>
          <w:rFonts w:asciiTheme="minorHAnsi" w:hAnsiTheme="minorHAnsi" w:cstheme="minorHAnsi"/>
        </w:rPr>
      </w:pPr>
      <w:r w:rsidRPr="00986F86">
        <w:rPr>
          <w:rFonts w:asciiTheme="minorHAnsi" w:hAnsiTheme="minorHAnsi" w:cstheme="minorHAnsi"/>
        </w:rPr>
        <w:t>The following tables are required unless otherwise noted; you may choose to include additional ones.</w:t>
      </w:r>
    </w:p>
    <w:p w14:paraId="74BC88A4" w14:textId="77777777" w:rsidR="00212D7A" w:rsidRPr="00986F86" w:rsidRDefault="00212D7A" w:rsidP="00212D7A">
      <w:pPr>
        <w:rPr>
          <w:rFonts w:asciiTheme="minorHAnsi" w:hAnsiTheme="minorHAnsi" w:cstheme="minorHAnsi"/>
        </w:rPr>
      </w:pPr>
    </w:p>
    <w:p w14:paraId="7FD304B1" w14:textId="77777777" w:rsidR="00212D7A" w:rsidRPr="00986F86" w:rsidRDefault="00212D7A" w:rsidP="00212D7A">
      <w:pPr>
        <w:pStyle w:val="BodyText"/>
        <w:rPr>
          <w:color w:val="auto"/>
        </w:rPr>
      </w:pPr>
      <w:r w:rsidRPr="00986F86">
        <w:t>IPEDS Institutio</w:t>
      </w:r>
      <w:r>
        <w:t>ns with Graduates</w:t>
      </w:r>
    </w:p>
    <w:tbl>
      <w:tblPr>
        <w:tblW w:w="4834"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374"/>
        <w:gridCol w:w="2570"/>
        <w:gridCol w:w="2158"/>
        <w:gridCol w:w="2354"/>
        <w:gridCol w:w="1622"/>
      </w:tblGrid>
      <w:tr w:rsidR="00212D7A" w:rsidRPr="00986F86" w14:paraId="6D8A81FD" w14:textId="77777777" w:rsidTr="000D66F5">
        <w:trPr>
          <w:trHeight w:val="654"/>
        </w:trPr>
        <w:tc>
          <w:tcPr>
            <w:tcW w:w="1093" w:type="pct"/>
            <w:shd w:val="clear" w:color="000000" w:fill="E1E1E1"/>
            <w:noWrap/>
            <w:vAlign w:val="center"/>
            <w:hideMark/>
          </w:tcPr>
          <w:p w14:paraId="5D680A16"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IPEDS Institutions: Campuses with Graduates  </w:t>
            </w:r>
          </w:p>
        </w:tc>
        <w:tc>
          <w:tcPr>
            <w:tcW w:w="1192" w:type="pct"/>
            <w:shd w:val="clear" w:color="000000" w:fill="E1E1E1"/>
            <w:noWrap/>
            <w:vAlign w:val="center"/>
            <w:hideMark/>
          </w:tcPr>
          <w:p w14:paraId="7B57DDB5"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Institutions: Year-over-Year Change (Units)</w:t>
            </w:r>
          </w:p>
        </w:tc>
        <w:tc>
          <w:tcPr>
            <w:tcW w:w="957" w:type="pct"/>
            <w:shd w:val="clear" w:color="000000" w:fill="E1E1E1"/>
            <w:noWrap/>
            <w:vAlign w:val="center"/>
            <w:hideMark/>
          </w:tcPr>
          <w:p w14:paraId="74E1624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Private For-Profit Institutions</w:t>
            </w:r>
          </w:p>
        </w:tc>
        <w:tc>
          <w:tcPr>
            <w:tcW w:w="1032" w:type="pct"/>
            <w:shd w:val="clear" w:color="000000" w:fill="E1E1E1"/>
            <w:noWrap/>
            <w:vAlign w:val="center"/>
            <w:hideMark/>
          </w:tcPr>
          <w:p w14:paraId="05847C57"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Private Not-for-Profit Institutions</w:t>
            </w:r>
          </w:p>
        </w:tc>
        <w:tc>
          <w:tcPr>
            <w:tcW w:w="726" w:type="pct"/>
            <w:shd w:val="clear" w:color="000000" w:fill="E1E1E1"/>
            <w:noWrap/>
            <w:vAlign w:val="center"/>
            <w:hideMark/>
          </w:tcPr>
          <w:p w14:paraId="46A2C5C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Public Institutions</w:t>
            </w:r>
          </w:p>
        </w:tc>
      </w:tr>
      <w:tr w:rsidR="00212D7A" w:rsidRPr="00986F86" w14:paraId="6C139615" w14:textId="77777777" w:rsidTr="000D66F5">
        <w:trPr>
          <w:trHeight w:val="447"/>
        </w:trPr>
        <w:tc>
          <w:tcPr>
            <w:tcW w:w="1093" w:type="pct"/>
            <w:shd w:val="clear" w:color="000000" w:fill="FFFFFF"/>
            <w:noWrap/>
            <w:vAlign w:val="center"/>
          </w:tcPr>
          <w:p w14:paraId="75A9BC2C" w14:textId="77777777" w:rsidR="00212D7A" w:rsidRPr="00986F86" w:rsidRDefault="00212D7A" w:rsidP="000D66F5">
            <w:pPr>
              <w:jc w:val="center"/>
              <w:rPr>
                <w:rFonts w:asciiTheme="minorHAnsi" w:hAnsiTheme="minorHAnsi" w:cstheme="minorHAnsi"/>
                <w:color w:val="000000" w:themeColor="text1"/>
                <w:sz w:val="22"/>
                <w:szCs w:val="22"/>
              </w:rPr>
            </w:pPr>
          </w:p>
        </w:tc>
        <w:tc>
          <w:tcPr>
            <w:tcW w:w="1192" w:type="pct"/>
            <w:shd w:val="clear" w:color="000000" w:fill="FFFFFF"/>
            <w:noWrap/>
            <w:vAlign w:val="center"/>
          </w:tcPr>
          <w:p w14:paraId="0BA4C82B" w14:textId="77777777" w:rsidR="00212D7A" w:rsidRPr="00986F86" w:rsidRDefault="00212D7A" w:rsidP="000D66F5">
            <w:pPr>
              <w:jc w:val="center"/>
              <w:rPr>
                <w:rFonts w:asciiTheme="minorHAnsi" w:hAnsiTheme="minorHAnsi" w:cstheme="minorHAnsi"/>
                <w:color w:val="000000" w:themeColor="text1"/>
                <w:sz w:val="22"/>
                <w:szCs w:val="22"/>
              </w:rPr>
            </w:pPr>
          </w:p>
        </w:tc>
        <w:tc>
          <w:tcPr>
            <w:tcW w:w="957" w:type="pct"/>
            <w:shd w:val="clear" w:color="000000" w:fill="FFFFFF"/>
            <w:noWrap/>
            <w:vAlign w:val="center"/>
          </w:tcPr>
          <w:p w14:paraId="4B9FC78D" w14:textId="77777777" w:rsidR="00212D7A" w:rsidRPr="00986F86" w:rsidRDefault="00212D7A" w:rsidP="000D66F5">
            <w:pPr>
              <w:jc w:val="center"/>
              <w:rPr>
                <w:rFonts w:asciiTheme="minorHAnsi" w:hAnsiTheme="minorHAnsi" w:cstheme="minorHAnsi"/>
                <w:color w:val="000000" w:themeColor="text1"/>
                <w:sz w:val="22"/>
                <w:szCs w:val="22"/>
              </w:rPr>
            </w:pPr>
          </w:p>
        </w:tc>
        <w:tc>
          <w:tcPr>
            <w:tcW w:w="1032" w:type="pct"/>
            <w:shd w:val="clear" w:color="000000" w:fill="FFFFFF"/>
            <w:noWrap/>
            <w:vAlign w:val="center"/>
          </w:tcPr>
          <w:p w14:paraId="4BB75353" w14:textId="77777777" w:rsidR="00212D7A" w:rsidRPr="00986F86" w:rsidRDefault="00212D7A" w:rsidP="000D66F5">
            <w:pPr>
              <w:jc w:val="center"/>
              <w:rPr>
                <w:rFonts w:asciiTheme="minorHAnsi" w:hAnsiTheme="minorHAnsi" w:cstheme="minorHAnsi"/>
                <w:color w:val="000000" w:themeColor="text1"/>
                <w:sz w:val="22"/>
                <w:szCs w:val="22"/>
              </w:rPr>
            </w:pPr>
          </w:p>
        </w:tc>
        <w:tc>
          <w:tcPr>
            <w:tcW w:w="726" w:type="pct"/>
            <w:shd w:val="clear" w:color="000000" w:fill="FFFFFF"/>
            <w:noWrap/>
            <w:vAlign w:val="center"/>
          </w:tcPr>
          <w:p w14:paraId="53046E98"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46718DCD" w14:textId="77777777" w:rsidR="00212D7A" w:rsidRDefault="00212D7A" w:rsidP="00212D7A">
      <w:pPr>
        <w:pStyle w:val="ListParagraph"/>
        <w:spacing w:after="0"/>
        <w:ind w:left="0"/>
        <w:rPr>
          <w:rFonts w:cstheme="minorHAnsi"/>
          <w:color w:val="000000" w:themeColor="text1"/>
        </w:rPr>
      </w:pPr>
    </w:p>
    <w:p w14:paraId="4B12B421" w14:textId="1752AB9D" w:rsidR="00212D7A" w:rsidRPr="00CA0FB3" w:rsidRDefault="00212D7A" w:rsidP="00212D7A">
      <w:pPr>
        <w:pStyle w:val="ListParagraph"/>
        <w:spacing w:after="0"/>
        <w:ind w:left="0"/>
        <w:rPr>
          <w:rFonts w:cstheme="minorHAnsi"/>
          <w:b/>
          <w:color w:val="000000" w:themeColor="text1"/>
        </w:rPr>
      </w:pPr>
      <w:r w:rsidRPr="00212D7A">
        <w:rPr>
          <w:rFonts w:cstheme="minorHAnsi"/>
          <w:b/>
          <w:color w:val="000000" w:themeColor="text1"/>
        </w:rPr>
        <w:t xml:space="preserve">Rationale for inclusion: </w:t>
      </w:r>
      <w:r>
        <w:rPr>
          <w:rFonts w:cstheme="minorHAnsi"/>
          <w:color w:val="000000" w:themeColor="text1"/>
        </w:rPr>
        <w:t xml:space="preserve">Provides indicator of the concentration and growth of competing programs.  Parsing this data by institutional type can be informative to a determination of institutional fit. </w:t>
      </w:r>
    </w:p>
    <w:p w14:paraId="2795250A" w14:textId="77777777" w:rsidR="00212D7A" w:rsidRPr="00986F86" w:rsidRDefault="00212D7A" w:rsidP="00212D7A">
      <w:pPr>
        <w:pStyle w:val="ListParagraph"/>
        <w:spacing w:after="0"/>
        <w:ind w:left="0"/>
        <w:rPr>
          <w:rFonts w:cstheme="minorHAnsi"/>
          <w:color w:val="000000" w:themeColor="text1"/>
        </w:rPr>
      </w:pPr>
    </w:p>
    <w:p w14:paraId="1FBABC50" w14:textId="77777777" w:rsidR="00212D7A" w:rsidRPr="00986F86" w:rsidRDefault="00212D7A" w:rsidP="00212D7A">
      <w:pPr>
        <w:pStyle w:val="ListParagraph"/>
        <w:spacing w:after="0"/>
        <w:ind w:left="0"/>
        <w:rPr>
          <w:rFonts w:cstheme="minorHAnsi"/>
          <w:color w:val="000000" w:themeColor="text1"/>
        </w:rPr>
      </w:pPr>
      <w:r w:rsidRPr="00986F86">
        <w:rPr>
          <w:rFonts w:cstheme="minorHAnsi"/>
          <w:color w:val="000000" w:themeColor="text1"/>
        </w:rPr>
        <w:t>2-year Market Median Data on Program Size and YoY % Change and IPEDS Completions YoY%.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9"/>
        <w:gridCol w:w="1869"/>
        <w:gridCol w:w="1869"/>
        <w:gridCol w:w="1869"/>
        <w:gridCol w:w="1869"/>
      </w:tblGrid>
      <w:tr w:rsidR="00212D7A" w:rsidRPr="00986F86" w14:paraId="4D64B1FA" w14:textId="77777777" w:rsidTr="000D66F5">
        <w:trPr>
          <w:trHeight w:val="890"/>
        </w:trPr>
        <w:tc>
          <w:tcPr>
            <w:tcW w:w="1869" w:type="dxa"/>
            <w:shd w:val="clear" w:color="000000" w:fill="E1E1E1"/>
            <w:noWrap/>
            <w:hideMark/>
          </w:tcPr>
          <w:p w14:paraId="59D70E12"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2017 Median Completions/ Institution</w:t>
            </w:r>
          </w:p>
        </w:tc>
        <w:tc>
          <w:tcPr>
            <w:tcW w:w="1869" w:type="dxa"/>
            <w:shd w:val="clear" w:color="000000" w:fill="E1E1E1"/>
            <w:noWrap/>
            <w:hideMark/>
          </w:tcPr>
          <w:p w14:paraId="2A43AD8B"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2016 Median Completions/ Institution</w:t>
            </w:r>
          </w:p>
        </w:tc>
        <w:tc>
          <w:tcPr>
            <w:tcW w:w="1869" w:type="dxa"/>
            <w:shd w:val="clear" w:color="000000" w:fill="E1E1E1"/>
            <w:noWrap/>
            <w:hideMark/>
          </w:tcPr>
          <w:p w14:paraId="016581A5"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Year-over-Year Change (%)</w:t>
            </w:r>
          </w:p>
        </w:tc>
        <w:tc>
          <w:tcPr>
            <w:tcW w:w="1869" w:type="dxa"/>
            <w:shd w:val="clear" w:color="000000" w:fill="E1E1E1"/>
          </w:tcPr>
          <w:p w14:paraId="2E2B49BF"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Completions: Year-over-Year Change (%)</w:t>
            </w:r>
          </w:p>
        </w:tc>
        <w:tc>
          <w:tcPr>
            <w:tcW w:w="1869" w:type="dxa"/>
            <w:shd w:val="clear" w:color="000000" w:fill="E1E1E1"/>
          </w:tcPr>
          <w:p w14:paraId="4DB8DDB5"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w:t>
            </w:r>
          </w:p>
          <w:p w14:paraId="481E4C5F"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Year-over-Year Change (%)</w:t>
            </w:r>
          </w:p>
        </w:tc>
      </w:tr>
      <w:tr w:rsidR="00212D7A" w:rsidRPr="00475D08" w14:paraId="04EBD244" w14:textId="77777777" w:rsidTr="000D66F5">
        <w:trPr>
          <w:trHeight w:val="464"/>
        </w:trPr>
        <w:tc>
          <w:tcPr>
            <w:tcW w:w="1869" w:type="dxa"/>
            <w:shd w:val="clear" w:color="000000" w:fill="FFFFFF"/>
            <w:noWrap/>
          </w:tcPr>
          <w:p w14:paraId="2B0C9904"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p>
        </w:tc>
        <w:tc>
          <w:tcPr>
            <w:tcW w:w="1869" w:type="dxa"/>
            <w:shd w:val="clear" w:color="000000" w:fill="FFFFFF"/>
            <w:noWrap/>
          </w:tcPr>
          <w:p w14:paraId="1D56F616"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p>
        </w:tc>
        <w:tc>
          <w:tcPr>
            <w:tcW w:w="1869" w:type="dxa"/>
            <w:shd w:val="clear" w:color="000000" w:fill="F5F5F5"/>
            <w:noWrap/>
          </w:tcPr>
          <w:p w14:paraId="2C2B7658"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p>
        </w:tc>
        <w:tc>
          <w:tcPr>
            <w:tcW w:w="1869" w:type="dxa"/>
            <w:shd w:val="clear" w:color="000000" w:fill="F5F5F5"/>
          </w:tcPr>
          <w:p w14:paraId="1A67EB55" w14:textId="77777777" w:rsidR="00212D7A" w:rsidRPr="00986F86" w:rsidRDefault="00212D7A" w:rsidP="000D66F5">
            <w:pPr>
              <w:spacing w:line="240" w:lineRule="exact"/>
              <w:jc w:val="center"/>
              <w:rPr>
                <w:rFonts w:asciiTheme="minorHAnsi" w:hAnsiTheme="minorHAnsi" w:cstheme="minorHAnsi"/>
                <w:color w:val="000000" w:themeColor="text1"/>
                <w:sz w:val="22"/>
                <w:szCs w:val="22"/>
              </w:rPr>
            </w:pPr>
          </w:p>
        </w:tc>
        <w:tc>
          <w:tcPr>
            <w:tcW w:w="1869" w:type="dxa"/>
            <w:shd w:val="clear" w:color="000000" w:fill="F5F5F5"/>
            <w:vAlign w:val="center"/>
          </w:tcPr>
          <w:p w14:paraId="1FBBDBCC"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65EE342C" w14:textId="77777777" w:rsidR="00212D7A" w:rsidRDefault="00212D7A" w:rsidP="00212D7A">
      <w:pPr>
        <w:pStyle w:val="ListParagraph"/>
        <w:ind w:left="1800"/>
        <w:rPr>
          <w:rFonts w:cstheme="minorHAnsi"/>
          <w:color w:val="000000" w:themeColor="text1"/>
        </w:rPr>
      </w:pPr>
    </w:p>
    <w:p w14:paraId="0641DC3F" w14:textId="07064A07" w:rsidR="00212D7A" w:rsidRPr="00CA0FB3" w:rsidRDefault="00212D7A" w:rsidP="00CA0FB3">
      <w:pPr>
        <w:pStyle w:val="ListParagraph"/>
        <w:spacing w:after="0"/>
        <w:ind w:left="0"/>
        <w:rPr>
          <w:rFonts w:cstheme="minorHAnsi"/>
          <w:b/>
          <w:color w:val="000000" w:themeColor="text1"/>
        </w:rPr>
      </w:pPr>
      <w:r w:rsidRPr="00212D7A">
        <w:rPr>
          <w:rFonts w:cstheme="minorHAnsi"/>
          <w:b/>
          <w:color w:val="000000" w:themeColor="text1"/>
        </w:rPr>
        <w:t xml:space="preserve">Rationale for inclusion: </w:t>
      </w:r>
      <w:r>
        <w:rPr>
          <w:rFonts w:cstheme="minorHAnsi"/>
          <w:color w:val="000000" w:themeColor="text1"/>
        </w:rPr>
        <w:t xml:space="preserve">Median program completions within the Market provides a benchmark </w:t>
      </w:r>
      <w:r w:rsidR="006036BF">
        <w:rPr>
          <w:rFonts w:cstheme="minorHAnsi"/>
          <w:color w:val="000000" w:themeColor="text1"/>
        </w:rPr>
        <w:t xml:space="preserve">that is predictive of student demand within the market and estimation of potential program size. Should be considered in parallel with individualized completions data for market competitors.   </w:t>
      </w:r>
    </w:p>
    <w:p w14:paraId="27AB22CC" w14:textId="77777777" w:rsidR="00212D7A" w:rsidRPr="00212D7A" w:rsidRDefault="00212D7A" w:rsidP="00212D7A">
      <w:pPr>
        <w:rPr>
          <w:rFonts w:cstheme="minorHAnsi"/>
          <w:color w:val="000000" w:themeColor="text1"/>
        </w:rPr>
      </w:pPr>
    </w:p>
    <w:p w14:paraId="6B62B1A4" w14:textId="77777777" w:rsidR="00212D7A" w:rsidRPr="00475D08" w:rsidRDefault="00212D7A" w:rsidP="00212D7A">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Gray Institutional and Online Completions Data (Online programs only)</w:t>
      </w:r>
    </w:p>
    <w:tbl>
      <w:tblPr>
        <w:tblW w:w="5000" w:type="pct"/>
        <w:tblLook w:val="04A0" w:firstRow="1" w:lastRow="0" w:firstColumn="1" w:lastColumn="0" w:noHBand="0" w:noVBand="1"/>
      </w:tblPr>
      <w:tblGrid>
        <w:gridCol w:w="2306"/>
        <w:gridCol w:w="2193"/>
        <w:gridCol w:w="2193"/>
        <w:gridCol w:w="2193"/>
        <w:gridCol w:w="2193"/>
      </w:tblGrid>
      <w:tr w:rsidR="00212D7A" w:rsidRPr="00986F86" w14:paraId="20363A7D" w14:textId="77777777" w:rsidTr="00CA0FB3">
        <w:trPr>
          <w:trHeight w:val="1061"/>
        </w:trPr>
        <w:tc>
          <w:tcPr>
            <w:tcW w:w="2306" w:type="dxa"/>
            <w:tcBorders>
              <w:top w:val="single" w:sz="4" w:space="0" w:color="000000"/>
              <w:left w:val="single" w:sz="4" w:space="0" w:color="000000"/>
              <w:bottom w:val="single" w:sz="4" w:space="0" w:color="000000"/>
              <w:right w:val="single" w:sz="4" w:space="0" w:color="000000"/>
            </w:tcBorders>
            <w:shd w:val="clear" w:color="000000" w:fill="E1E1E1"/>
            <w:noWrap/>
            <w:vAlign w:val="center"/>
            <w:hideMark/>
          </w:tcPr>
          <w:p w14:paraId="4445CFFF"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Institutions with Program Online</w:t>
            </w:r>
          </w:p>
        </w:tc>
        <w:tc>
          <w:tcPr>
            <w:tcW w:w="2193" w:type="dxa"/>
            <w:tcBorders>
              <w:top w:val="single" w:sz="4" w:space="0" w:color="000000"/>
              <w:left w:val="nil"/>
              <w:bottom w:val="single" w:sz="4" w:space="0" w:color="000000"/>
              <w:right w:val="single" w:sz="4" w:space="0" w:color="000000"/>
            </w:tcBorders>
            <w:shd w:val="clear" w:color="000000" w:fill="E1E1E1"/>
            <w:noWrap/>
            <w:vAlign w:val="center"/>
            <w:hideMark/>
          </w:tcPr>
          <w:p w14:paraId="4549475F"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 of Institutions</w:t>
            </w:r>
          </w:p>
        </w:tc>
        <w:tc>
          <w:tcPr>
            <w:tcW w:w="2193" w:type="dxa"/>
            <w:tcBorders>
              <w:top w:val="single" w:sz="4" w:space="0" w:color="000000"/>
              <w:left w:val="nil"/>
              <w:bottom w:val="single" w:sz="4" w:space="0" w:color="000000"/>
              <w:right w:val="single" w:sz="4" w:space="0" w:color="000000"/>
            </w:tcBorders>
            <w:shd w:val="clear" w:color="000000" w:fill="E1E1E1"/>
            <w:noWrap/>
            <w:vAlign w:val="center"/>
            <w:hideMark/>
          </w:tcPr>
          <w:p w14:paraId="2743EA45"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 of Completions</w:t>
            </w:r>
          </w:p>
        </w:tc>
        <w:tc>
          <w:tcPr>
            <w:tcW w:w="2193" w:type="dxa"/>
            <w:tcBorders>
              <w:top w:val="single" w:sz="4" w:space="0" w:color="000000"/>
              <w:left w:val="nil"/>
              <w:bottom w:val="single" w:sz="4" w:space="0" w:color="000000"/>
              <w:right w:val="single" w:sz="4" w:space="0" w:color="000000"/>
            </w:tcBorders>
            <w:shd w:val="clear" w:color="000000" w:fill="E1E1E1"/>
            <w:noWrap/>
            <w:vAlign w:val="center"/>
            <w:hideMark/>
          </w:tcPr>
          <w:p w14:paraId="737F1BF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Completions: 2017 in Programs Offered Online</w:t>
            </w:r>
          </w:p>
        </w:tc>
        <w:tc>
          <w:tcPr>
            <w:tcW w:w="2193" w:type="dxa"/>
            <w:tcBorders>
              <w:top w:val="single" w:sz="4" w:space="0" w:color="000000"/>
              <w:left w:val="nil"/>
              <w:bottom w:val="single" w:sz="4" w:space="0" w:color="000000"/>
              <w:right w:val="single" w:sz="4" w:space="0" w:color="000000"/>
            </w:tcBorders>
            <w:shd w:val="clear" w:color="000000" w:fill="E1E1E1"/>
            <w:noWrap/>
            <w:vAlign w:val="center"/>
            <w:hideMark/>
          </w:tcPr>
          <w:p w14:paraId="6E612786"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Completions: 2016 in Programs Offered Online</w:t>
            </w:r>
          </w:p>
        </w:tc>
      </w:tr>
      <w:tr w:rsidR="00212D7A" w:rsidRPr="00986F86" w14:paraId="58011D1A" w14:textId="77777777" w:rsidTr="00CA0FB3">
        <w:trPr>
          <w:trHeight w:val="615"/>
        </w:trPr>
        <w:tc>
          <w:tcPr>
            <w:tcW w:w="2306" w:type="dxa"/>
            <w:tcBorders>
              <w:top w:val="nil"/>
              <w:left w:val="single" w:sz="4" w:space="0" w:color="000000"/>
              <w:bottom w:val="single" w:sz="4" w:space="0" w:color="000000"/>
              <w:right w:val="single" w:sz="4" w:space="0" w:color="000000"/>
            </w:tcBorders>
            <w:shd w:val="clear" w:color="000000" w:fill="F5F5F5"/>
            <w:noWrap/>
            <w:vAlign w:val="center"/>
          </w:tcPr>
          <w:p w14:paraId="5B6E9C29" w14:textId="77777777" w:rsidR="00212D7A" w:rsidRPr="00986F86" w:rsidRDefault="00212D7A" w:rsidP="000D66F5">
            <w:pPr>
              <w:jc w:val="center"/>
              <w:rPr>
                <w:rFonts w:asciiTheme="minorHAnsi" w:hAnsiTheme="minorHAnsi" w:cstheme="minorHAnsi"/>
                <w:color w:val="000000" w:themeColor="text1"/>
                <w:sz w:val="22"/>
                <w:szCs w:val="22"/>
              </w:rPr>
            </w:pPr>
          </w:p>
        </w:tc>
        <w:tc>
          <w:tcPr>
            <w:tcW w:w="2193" w:type="dxa"/>
            <w:tcBorders>
              <w:top w:val="nil"/>
              <w:left w:val="nil"/>
              <w:bottom w:val="single" w:sz="4" w:space="0" w:color="000000"/>
              <w:right w:val="single" w:sz="4" w:space="0" w:color="000000"/>
            </w:tcBorders>
            <w:shd w:val="clear" w:color="000000" w:fill="FFFFFF"/>
            <w:noWrap/>
            <w:vAlign w:val="center"/>
          </w:tcPr>
          <w:p w14:paraId="3D69A710" w14:textId="77777777" w:rsidR="00212D7A" w:rsidRPr="00986F86" w:rsidRDefault="00212D7A" w:rsidP="000D66F5">
            <w:pPr>
              <w:jc w:val="center"/>
              <w:rPr>
                <w:rFonts w:asciiTheme="minorHAnsi" w:hAnsiTheme="minorHAnsi" w:cstheme="minorHAnsi"/>
                <w:color w:val="000000" w:themeColor="text1"/>
                <w:sz w:val="22"/>
                <w:szCs w:val="22"/>
              </w:rPr>
            </w:pPr>
          </w:p>
        </w:tc>
        <w:tc>
          <w:tcPr>
            <w:tcW w:w="2193" w:type="dxa"/>
            <w:tcBorders>
              <w:top w:val="nil"/>
              <w:left w:val="nil"/>
              <w:bottom w:val="single" w:sz="4" w:space="0" w:color="000000"/>
              <w:right w:val="single" w:sz="4" w:space="0" w:color="000000"/>
            </w:tcBorders>
            <w:shd w:val="clear" w:color="000000" w:fill="FFFFFF"/>
            <w:noWrap/>
            <w:vAlign w:val="center"/>
          </w:tcPr>
          <w:p w14:paraId="193AE64F" w14:textId="77777777" w:rsidR="00212D7A" w:rsidRPr="00986F86" w:rsidRDefault="00212D7A" w:rsidP="000D66F5">
            <w:pPr>
              <w:jc w:val="center"/>
              <w:rPr>
                <w:rFonts w:asciiTheme="minorHAnsi" w:hAnsiTheme="minorHAnsi" w:cstheme="minorHAnsi"/>
                <w:color w:val="000000" w:themeColor="text1"/>
                <w:sz w:val="22"/>
                <w:szCs w:val="22"/>
              </w:rPr>
            </w:pPr>
          </w:p>
        </w:tc>
        <w:tc>
          <w:tcPr>
            <w:tcW w:w="2193" w:type="dxa"/>
            <w:tcBorders>
              <w:top w:val="nil"/>
              <w:left w:val="nil"/>
              <w:bottom w:val="single" w:sz="4" w:space="0" w:color="000000"/>
              <w:right w:val="single" w:sz="4" w:space="0" w:color="000000"/>
            </w:tcBorders>
            <w:shd w:val="clear" w:color="000000" w:fill="FFFFFF"/>
            <w:noWrap/>
            <w:vAlign w:val="center"/>
          </w:tcPr>
          <w:p w14:paraId="03A221D8" w14:textId="77777777" w:rsidR="00212D7A" w:rsidRPr="00986F86" w:rsidRDefault="00212D7A" w:rsidP="000D66F5">
            <w:pPr>
              <w:jc w:val="center"/>
              <w:rPr>
                <w:rFonts w:asciiTheme="minorHAnsi" w:hAnsiTheme="minorHAnsi" w:cstheme="minorHAnsi"/>
                <w:color w:val="000000" w:themeColor="text1"/>
                <w:sz w:val="22"/>
                <w:szCs w:val="22"/>
              </w:rPr>
            </w:pPr>
          </w:p>
        </w:tc>
        <w:tc>
          <w:tcPr>
            <w:tcW w:w="2193" w:type="dxa"/>
            <w:tcBorders>
              <w:top w:val="nil"/>
              <w:left w:val="nil"/>
              <w:bottom w:val="single" w:sz="4" w:space="0" w:color="000000"/>
              <w:right w:val="single" w:sz="4" w:space="0" w:color="000000"/>
            </w:tcBorders>
            <w:shd w:val="clear" w:color="000000" w:fill="FFFFFF"/>
            <w:noWrap/>
            <w:vAlign w:val="center"/>
          </w:tcPr>
          <w:p w14:paraId="7DF91755"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447A6A3B" w14:textId="77777777" w:rsidR="00CA0FB3" w:rsidRDefault="00CA0FB3" w:rsidP="00CA0FB3">
      <w:pPr>
        <w:rPr>
          <w:rFonts w:cstheme="minorHAnsi"/>
          <w:b/>
          <w:color w:val="000000" w:themeColor="text1"/>
        </w:rPr>
      </w:pPr>
    </w:p>
    <w:p w14:paraId="454365CE" w14:textId="36C10253" w:rsidR="00CA0FB3" w:rsidRPr="00CA0FB3" w:rsidRDefault="00CA0FB3" w:rsidP="00CA0FB3">
      <w:pPr>
        <w:rPr>
          <w:rFonts w:cstheme="minorHAnsi"/>
          <w:color w:val="000000" w:themeColor="text1"/>
        </w:rPr>
      </w:pPr>
      <w:r w:rsidRPr="00CA0FB3">
        <w:rPr>
          <w:rFonts w:cstheme="minorHAnsi"/>
          <w:b/>
          <w:color w:val="000000" w:themeColor="text1"/>
        </w:rPr>
        <w:t>Rationale for inclusion:</w:t>
      </w:r>
      <w:r>
        <w:rPr>
          <w:rFonts w:cstheme="minorHAnsi"/>
          <w:b/>
          <w:color w:val="000000" w:themeColor="text1"/>
        </w:rPr>
        <w:t xml:space="preserve"> </w:t>
      </w:r>
      <w:r>
        <w:rPr>
          <w:rFonts w:cstheme="minorHAnsi"/>
          <w:color w:val="000000" w:themeColor="text1"/>
        </w:rPr>
        <w:t xml:space="preserve">Online programs default to a national market. The Institutional and Online Completions Data provides perspective on the level of demand for online version of the program. The IPEDS completions provides illustrates demand within the given market. </w:t>
      </w:r>
    </w:p>
    <w:p w14:paraId="3DC646C9" w14:textId="75864702" w:rsidR="00212D7A" w:rsidRPr="00CA0FB3" w:rsidRDefault="00212D7A" w:rsidP="00CA0FB3">
      <w:pPr>
        <w:rPr>
          <w:rFonts w:cstheme="minorHAnsi"/>
          <w:color w:val="000000" w:themeColor="text1"/>
        </w:rPr>
      </w:pPr>
      <w:r w:rsidRPr="00CA0FB3">
        <w:rPr>
          <w:rFonts w:cstheme="minorHAnsi"/>
          <w:color w:val="000000" w:themeColor="text1"/>
        </w:rPr>
        <w:t xml:space="preserve"> </w:t>
      </w:r>
    </w:p>
    <w:p w14:paraId="5F0F02EA" w14:textId="77777777" w:rsidR="00CD69FC" w:rsidRDefault="00CD69FC">
      <w:pPr>
        <w:rPr>
          <w:rFonts w:asciiTheme="minorHAnsi" w:hAnsiTheme="minorHAnsi" w:cstheme="minorHAnsi"/>
          <w:color w:val="000000" w:themeColor="text1"/>
          <w:sz w:val="22"/>
          <w:szCs w:val="22"/>
        </w:rPr>
      </w:pPr>
      <w:r>
        <w:br w:type="page"/>
      </w:r>
    </w:p>
    <w:p w14:paraId="7A966CC6" w14:textId="26AD3D22" w:rsidR="00212D7A" w:rsidRPr="00475D08" w:rsidRDefault="00212D7A" w:rsidP="00212D7A">
      <w:pPr>
        <w:pStyle w:val="BodyText"/>
      </w:pPr>
      <w:r w:rsidRPr="00475D08">
        <w:t>Market Inquiries Data (Online programs only)</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380"/>
        <w:gridCol w:w="1306"/>
        <w:gridCol w:w="1769"/>
        <w:gridCol w:w="1274"/>
        <w:gridCol w:w="1371"/>
        <w:gridCol w:w="1274"/>
        <w:gridCol w:w="1293"/>
      </w:tblGrid>
      <w:tr w:rsidR="00212D7A" w:rsidRPr="00986F86" w14:paraId="3A0DB4BC" w14:textId="77777777" w:rsidTr="000D66F5">
        <w:trPr>
          <w:trHeight w:val="1142"/>
        </w:trPr>
        <w:tc>
          <w:tcPr>
            <w:tcW w:w="819" w:type="dxa"/>
            <w:shd w:val="clear" w:color="000000" w:fill="E1E1E1"/>
            <w:noWrap/>
            <w:vAlign w:val="center"/>
            <w:hideMark/>
          </w:tcPr>
          <w:p w14:paraId="77D7ED60"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Undergrad Certificate</w:t>
            </w:r>
          </w:p>
        </w:tc>
        <w:tc>
          <w:tcPr>
            <w:tcW w:w="818" w:type="dxa"/>
            <w:shd w:val="clear" w:color="000000" w:fill="E1E1E1"/>
            <w:noWrap/>
            <w:vAlign w:val="center"/>
            <w:hideMark/>
          </w:tcPr>
          <w:p w14:paraId="31BA690C"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Associates Degree</w:t>
            </w:r>
          </w:p>
        </w:tc>
        <w:tc>
          <w:tcPr>
            <w:tcW w:w="818" w:type="dxa"/>
            <w:shd w:val="clear" w:color="000000" w:fill="E1E1E1"/>
            <w:noWrap/>
            <w:vAlign w:val="center"/>
            <w:hideMark/>
          </w:tcPr>
          <w:p w14:paraId="575CBDDC"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Bachelors Degree</w:t>
            </w:r>
          </w:p>
        </w:tc>
        <w:tc>
          <w:tcPr>
            <w:tcW w:w="857" w:type="dxa"/>
            <w:shd w:val="clear" w:color="000000" w:fill="E1E1E1"/>
            <w:noWrap/>
            <w:vAlign w:val="center"/>
            <w:hideMark/>
          </w:tcPr>
          <w:p w14:paraId="1BEC8C3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Post-baccalaureate Certificate</w:t>
            </w:r>
          </w:p>
        </w:tc>
        <w:tc>
          <w:tcPr>
            <w:tcW w:w="818" w:type="dxa"/>
            <w:shd w:val="clear" w:color="000000" w:fill="E1E1E1"/>
            <w:noWrap/>
            <w:vAlign w:val="center"/>
            <w:hideMark/>
          </w:tcPr>
          <w:p w14:paraId="5CCC1E61"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Masters Degree</w:t>
            </w:r>
          </w:p>
        </w:tc>
        <w:tc>
          <w:tcPr>
            <w:tcW w:w="818" w:type="dxa"/>
            <w:shd w:val="clear" w:color="000000" w:fill="E1E1E1"/>
            <w:noWrap/>
            <w:vAlign w:val="center"/>
            <w:hideMark/>
          </w:tcPr>
          <w:p w14:paraId="1DB64782"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Post-Masters Certificate</w:t>
            </w:r>
          </w:p>
        </w:tc>
        <w:tc>
          <w:tcPr>
            <w:tcW w:w="818" w:type="dxa"/>
            <w:shd w:val="clear" w:color="000000" w:fill="E1E1E1"/>
            <w:noWrap/>
            <w:vAlign w:val="center"/>
            <w:hideMark/>
          </w:tcPr>
          <w:p w14:paraId="74E1F8A7"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Doctoral Degree</w:t>
            </w:r>
          </w:p>
        </w:tc>
        <w:tc>
          <w:tcPr>
            <w:tcW w:w="818" w:type="dxa"/>
            <w:shd w:val="clear" w:color="000000" w:fill="E1E1E1"/>
            <w:noWrap/>
            <w:vAlign w:val="center"/>
            <w:hideMark/>
          </w:tcPr>
          <w:p w14:paraId="1C0D01E0"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Unknown Level</w:t>
            </w:r>
          </w:p>
        </w:tc>
      </w:tr>
      <w:tr w:rsidR="00212D7A" w:rsidRPr="00986F86" w14:paraId="53BBEB4B" w14:textId="77777777" w:rsidTr="000D66F5">
        <w:trPr>
          <w:trHeight w:val="615"/>
        </w:trPr>
        <w:tc>
          <w:tcPr>
            <w:tcW w:w="819" w:type="dxa"/>
            <w:shd w:val="clear" w:color="000000" w:fill="FFFFFF"/>
            <w:noWrap/>
            <w:vAlign w:val="center"/>
          </w:tcPr>
          <w:p w14:paraId="3ADB5947" w14:textId="77777777" w:rsidR="00212D7A" w:rsidRPr="00986F86" w:rsidRDefault="00212D7A" w:rsidP="000D66F5">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14:paraId="0BFCCF7D" w14:textId="77777777" w:rsidR="00212D7A" w:rsidRPr="00986F86" w:rsidRDefault="00212D7A" w:rsidP="000D66F5">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14:paraId="7CB0A7F4" w14:textId="77777777" w:rsidR="00212D7A" w:rsidRPr="00986F86" w:rsidRDefault="00212D7A" w:rsidP="000D66F5">
            <w:pPr>
              <w:jc w:val="center"/>
              <w:rPr>
                <w:rFonts w:asciiTheme="minorHAnsi" w:hAnsiTheme="minorHAnsi" w:cstheme="minorHAnsi"/>
                <w:color w:val="000000" w:themeColor="text1"/>
                <w:sz w:val="22"/>
                <w:szCs w:val="22"/>
              </w:rPr>
            </w:pPr>
          </w:p>
        </w:tc>
        <w:tc>
          <w:tcPr>
            <w:tcW w:w="857" w:type="dxa"/>
            <w:shd w:val="clear" w:color="000000" w:fill="F5F5F5"/>
            <w:noWrap/>
            <w:vAlign w:val="center"/>
          </w:tcPr>
          <w:p w14:paraId="202828AA" w14:textId="77777777" w:rsidR="00212D7A" w:rsidRPr="00986F86" w:rsidRDefault="00212D7A" w:rsidP="000D66F5">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14:paraId="3FACC053" w14:textId="77777777" w:rsidR="00212D7A" w:rsidRPr="00986F86" w:rsidRDefault="00212D7A" w:rsidP="000D66F5">
            <w:pPr>
              <w:jc w:val="center"/>
              <w:rPr>
                <w:rFonts w:asciiTheme="minorHAnsi" w:hAnsiTheme="minorHAnsi" w:cstheme="minorHAnsi"/>
                <w:color w:val="000000" w:themeColor="text1"/>
                <w:sz w:val="22"/>
                <w:szCs w:val="22"/>
              </w:rPr>
            </w:pPr>
          </w:p>
        </w:tc>
        <w:tc>
          <w:tcPr>
            <w:tcW w:w="818" w:type="dxa"/>
            <w:shd w:val="clear" w:color="000000" w:fill="F5F5F5"/>
            <w:noWrap/>
            <w:vAlign w:val="center"/>
          </w:tcPr>
          <w:p w14:paraId="615AFD54" w14:textId="77777777" w:rsidR="00212D7A" w:rsidRPr="00986F86" w:rsidRDefault="00212D7A" w:rsidP="000D66F5">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14:paraId="7AB55CCC" w14:textId="77777777" w:rsidR="00212D7A" w:rsidRPr="00986F86" w:rsidRDefault="00212D7A" w:rsidP="000D66F5">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14:paraId="1AB603C9"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6B3E7BB4" w14:textId="77777777" w:rsidR="00212D7A" w:rsidRPr="00986F86" w:rsidRDefault="00212D7A" w:rsidP="00212D7A">
      <w:pPr>
        <w:pStyle w:val="BodyText"/>
      </w:pPr>
    </w:p>
    <w:p w14:paraId="7295A861" w14:textId="13EA51EE" w:rsidR="00CA0FB3" w:rsidRDefault="00CA0FB3" w:rsidP="00CA0FB3">
      <w:pPr>
        <w:spacing w:after="200" w:line="276" w:lineRule="auto"/>
        <w:rPr>
          <w:rFonts w:asciiTheme="minorHAnsi" w:hAnsiTheme="minorHAnsi" w:cstheme="minorHAnsi"/>
          <w:color w:val="000000" w:themeColor="text1"/>
          <w:sz w:val="22"/>
          <w:szCs w:val="22"/>
        </w:rPr>
      </w:pPr>
      <w:r w:rsidRPr="00CA0FB3">
        <w:rPr>
          <w:rFonts w:cstheme="minorHAnsi"/>
          <w:b/>
          <w:color w:val="000000" w:themeColor="text1"/>
        </w:rPr>
        <w:t>Rationale for inclusion:</w:t>
      </w:r>
      <w:r>
        <w:rPr>
          <w:rFonts w:cstheme="minorHAnsi"/>
          <w:b/>
          <w:color w:val="000000" w:themeColor="text1"/>
        </w:rPr>
        <w:t xml:space="preserve"> </w:t>
      </w:r>
      <w:r w:rsidR="00CD69FC">
        <w:rPr>
          <w:rFonts w:cstheme="minorHAnsi"/>
          <w:color w:val="000000" w:themeColor="text1"/>
        </w:rPr>
        <w:t xml:space="preserve">Online Inquiries are better predictors of the online offerings and are less predictive for than for traditional in-person programs. The Market Inquiries Data provides insight on the desired program level associated with student demand.   </w:t>
      </w:r>
    </w:p>
    <w:p w14:paraId="541D8EE7" w14:textId="77777777" w:rsidR="00CA0FB3" w:rsidRDefault="00CA0FB3" w:rsidP="00CA0FB3">
      <w:pPr>
        <w:spacing w:after="200" w:line="276" w:lineRule="auto"/>
      </w:pPr>
    </w:p>
    <w:p w14:paraId="7E188805" w14:textId="72697E42" w:rsidR="00212D7A" w:rsidRPr="00CA0FB3" w:rsidRDefault="00212D7A" w:rsidP="00CA0FB3">
      <w:pPr>
        <w:spacing w:after="200" w:line="276" w:lineRule="auto"/>
        <w:rPr>
          <w:rFonts w:asciiTheme="minorHAnsi" w:hAnsiTheme="minorHAnsi" w:cstheme="minorHAnsi"/>
          <w:color w:val="000000" w:themeColor="text1"/>
          <w:sz w:val="22"/>
          <w:szCs w:val="22"/>
        </w:rPr>
      </w:pPr>
      <w:r w:rsidRPr="00475D08">
        <w:t>Market Competitor Table for the appropriate award level of select (at least 5) competitors.</w:t>
      </w:r>
      <w:r>
        <w:t xml:space="preserve"> [If online program, choose completions from online programs.]</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28"/>
        <w:gridCol w:w="1431"/>
        <w:gridCol w:w="1431"/>
        <w:gridCol w:w="1431"/>
        <w:gridCol w:w="1431"/>
        <w:gridCol w:w="1431"/>
        <w:gridCol w:w="1431"/>
      </w:tblGrid>
      <w:tr w:rsidR="00212D7A" w:rsidRPr="00986F86" w14:paraId="72F585E0" w14:textId="77777777" w:rsidTr="000D66F5">
        <w:trPr>
          <w:trHeight w:val="1845"/>
        </w:trPr>
        <w:tc>
          <w:tcPr>
            <w:tcW w:w="1357" w:type="dxa"/>
            <w:shd w:val="clear" w:color="000000" w:fill="E1E1E1"/>
            <w:noWrap/>
            <w:vAlign w:val="center"/>
            <w:hideMark/>
          </w:tcPr>
          <w:p w14:paraId="0E27191D"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Campus</w:t>
            </w:r>
          </w:p>
        </w:tc>
        <w:tc>
          <w:tcPr>
            <w:tcW w:w="1128" w:type="dxa"/>
            <w:shd w:val="clear" w:color="000000" w:fill="E1E1E1"/>
            <w:noWrap/>
            <w:vAlign w:val="center"/>
            <w:hideMark/>
          </w:tcPr>
          <w:p w14:paraId="0CFB133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Award Level</w:t>
            </w:r>
          </w:p>
        </w:tc>
        <w:tc>
          <w:tcPr>
            <w:tcW w:w="1431" w:type="dxa"/>
            <w:shd w:val="clear" w:color="000000" w:fill="E1E1E1"/>
            <w:noWrap/>
            <w:vAlign w:val="center"/>
            <w:hideMark/>
          </w:tcPr>
          <w:p w14:paraId="171D598F"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2012 Completions</w:t>
            </w:r>
          </w:p>
        </w:tc>
        <w:tc>
          <w:tcPr>
            <w:tcW w:w="1431" w:type="dxa"/>
            <w:shd w:val="clear" w:color="000000" w:fill="E1E1E1"/>
            <w:noWrap/>
            <w:vAlign w:val="center"/>
            <w:hideMark/>
          </w:tcPr>
          <w:p w14:paraId="5C01935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2013 Completions</w:t>
            </w:r>
          </w:p>
        </w:tc>
        <w:tc>
          <w:tcPr>
            <w:tcW w:w="1431" w:type="dxa"/>
            <w:shd w:val="clear" w:color="000000" w:fill="E1E1E1"/>
            <w:noWrap/>
            <w:vAlign w:val="center"/>
            <w:hideMark/>
          </w:tcPr>
          <w:p w14:paraId="437E935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2014 Completions</w:t>
            </w:r>
          </w:p>
        </w:tc>
        <w:tc>
          <w:tcPr>
            <w:tcW w:w="1431" w:type="dxa"/>
            <w:shd w:val="clear" w:color="000000" w:fill="E1E1E1"/>
            <w:noWrap/>
            <w:vAlign w:val="center"/>
            <w:hideMark/>
          </w:tcPr>
          <w:p w14:paraId="69E7AB40"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2015 Completions</w:t>
            </w:r>
          </w:p>
        </w:tc>
        <w:tc>
          <w:tcPr>
            <w:tcW w:w="1431" w:type="dxa"/>
            <w:shd w:val="clear" w:color="000000" w:fill="E1E1E1"/>
            <w:noWrap/>
            <w:vAlign w:val="center"/>
            <w:hideMark/>
          </w:tcPr>
          <w:p w14:paraId="77A1A1FE"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2016 Completions</w:t>
            </w:r>
          </w:p>
        </w:tc>
        <w:tc>
          <w:tcPr>
            <w:tcW w:w="1431" w:type="dxa"/>
            <w:shd w:val="clear" w:color="000000" w:fill="E1E1E1"/>
            <w:noWrap/>
            <w:vAlign w:val="center"/>
            <w:hideMark/>
          </w:tcPr>
          <w:p w14:paraId="0ED0951F"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2017 Completions</w:t>
            </w:r>
          </w:p>
        </w:tc>
      </w:tr>
      <w:tr w:rsidR="00212D7A" w:rsidRPr="00986F86" w14:paraId="5F3962FA" w14:textId="77777777" w:rsidTr="000D66F5">
        <w:trPr>
          <w:trHeight w:val="615"/>
        </w:trPr>
        <w:tc>
          <w:tcPr>
            <w:tcW w:w="1357" w:type="dxa"/>
            <w:shd w:val="clear" w:color="000000" w:fill="FFFFFF"/>
            <w:noWrap/>
            <w:vAlign w:val="center"/>
          </w:tcPr>
          <w:p w14:paraId="501DC461" w14:textId="77777777" w:rsidR="00212D7A" w:rsidRPr="00986F86" w:rsidRDefault="00212D7A" w:rsidP="000D66F5">
            <w:pPr>
              <w:rPr>
                <w:rFonts w:asciiTheme="minorHAnsi" w:hAnsiTheme="minorHAnsi" w:cstheme="minorHAnsi"/>
                <w:color w:val="000000" w:themeColor="text1"/>
                <w:sz w:val="22"/>
                <w:szCs w:val="22"/>
              </w:rPr>
            </w:pPr>
          </w:p>
        </w:tc>
        <w:tc>
          <w:tcPr>
            <w:tcW w:w="1128" w:type="dxa"/>
            <w:shd w:val="clear" w:color="000000" w:fill="FFFFFF"/>
            <w:noWrap/>
            <w:vAlign w:val="center"/>
          </w:tcPr>
          <w:p w14:paraId="2103AD8F" w14:textId="77777777" w:rsidR="00212D7A" w:rsidRPr="00986F86" w:rsidRDefault="00212D7A" w:rsidP="000D66F5">
            <w:pPr>
              <w:rPr>
                <w:rFonts w:asciiTheme="minorHAnsi" w:hAnsiTheme="minorHAnsi" w:cstheme="minorHAnsi"/>
                <w:color w:val="000000" w:themeColor="text1"/>
                <w:sz w:val="22"/>
                <w:szCs w:val="22"/>
              </w:rPr>
            </w:pPr>
          </w:p>
        </w:tc>
        <w:tc>
          <w:tcPr>
            <w:tcW w:w="1431" w:type="dxa"/>
            <w:shd w:val="clear" w:color="000000" w:fill="FFFFFF"/>
            <w:noWrap/>
            <w:vAlign w:val="center"/>
          </w:tcPr>
          <w:p w14:paraId="25260524"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3EA006C7"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C30CBD3"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70814BA"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2C0FEA74"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79A23788" w14:textId="77777777" w:rsidR="00212D7A" w:rsidRPr="00986F86" w:rsidRDefault="00212D7A" w:rsidP="000D66F5">
            <w:pPr>
              <w:jc w:val="center"/>
              <w:rPr>
                <w:rFonts w:asciiTheme="minorHAnsi" w:hAnsiTheme="minorHAnsi" w:cstheme="minorHAnsi"/>
                <w:color w:val="000000" w:themeColor="text1"/>
                <w:sz w:val="22"/>
                <w:szCs w:val="22"/>
              </w:rPr>
            </w:pPr>
          </w:p>
        </w:tc>
      </w:tr>
      <w:tr w:rsidR="00212D7A" w:rsidRPr="00986F86" w14:paraId="4FCC1142" w14:textId="77777777" w:rsidTr="000D66F5">
        <w:trPr>
          <w:trHeight w:val="615"/>
        </w:trPr>
        <w:tc>
          <w:tcPr>
            <w:tcW w:w="1357" w:type="dxa"/>
            <w:shd w:val="clear" w:color="000000" w:fill="F5F5F5"/>
            <w:noWrap/>
            <w:vAlign w:val="center"/>
          </w:tcPr>
          <w:p w14:paraId="3796F35A" w14:textId="77777777" w:rsidR="00212D7A" w:rsidRPr="00986F86" w:rsidRDefault="00212D7A" w:rsidP="000D66F5">
            <w:pPr>
              <w:rPr>
                <w:rFonts w:asciiTheme="minorHAnsi" w:hAnsiTheme="minorHAnsi" w:cstheme="minorHAnsi"/>
                <w:color w:val="000000" w:themeColor="text1"/>
                <w:sz w:val="22"/>
                <w:szCs w:val="22"/>
              </w:rPr>
            </w:pPr>
          </w:p>
        </w:tc>
        <w:tc>
          <w:tcPr>
            <w:tcW w:w="1128" w:type="dxa"/>
            <w:shd w:val="clear" w:color="000000" w:fill="F5F5F5"/>
            <w:noWrap/>
            <w:vAlign w:val="center"/>
          </w:tcPr>
          <w:p w14:paraId="35029811" w14:textId="77777777" w:rsidR="00212D7A" w:rsidRPr="00986F86" w:rsidRDefault="00212D7A" w:rsidP="000D66F5">
            <w:pPr>
              <w:rPr>
                <w:rFonts w:asciiTheme="minorHAnsi" w:hAnsiTheme="minorHAnsi" w:cstheme="minorHAnsi"/>
                <w:color w:val="000000" w:themeColor="text1"/>
                <w:sz w:val="22"/>
                <w:szCs w:val="22"/>
              </w:rPr>
            </w:pPr>
          </w:p>
        </w:tc>
        <w:tc>
          <w:tcPr>
            <w:tcW w:w="1431" w:type="dxa"/>
            <w:shd w:val="clear" w:color="000000" w:fill="F5F5F5"/>
            <w:noWrap/>
            <w:vAlign w:val="center"/>
          </w:tcPr>
          <w:p w14:paraId="3F908BE2"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2753306C"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3D757879"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5E9BA09B"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136D54AB"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6455EF59" w14:textId="77777777" w:rsidR="00212D7A" w:rsidRPr="00986F86" w:rsidRDefault="00212D7A" w:rsidP="000D66F5">
            <w:pPr>
              <w:jc w:val="center"/>
              <w:rPr>
                <w:rFonts w:asciiTheme="minorHAnsi" w:hAnsiTheme="minorHAnsi" w:cstheme="minorHAnsi"/>
                <w:color w:val="000000" w:themeColor="text1"/>
                <w:sz w:val="22"/>
                <w:szCs w:val="22"/>
              </w:rPr>
            </w:pPr>
          </w:p>
        </w:tc>
      </w:tr>
      <w:tr w:rsidR="00212D7A" w:rsidRPr="00986F86" w14:paraId="6BEC2A89" w14:textId="77777777" w:rsidTr="000D66F5">
        <w:trPr>
          <w:trHeight w:val="615"/>
        </w:trPr>
        <w:tc>
          <w:tcPr>
            <w:tcW w:w="1357" w:type="dxa"/>
            <w:shd w:val="clear" w:color="000000" w:fill="FFFFFF"/>
            <w:noWrap/>
            <w:vAlign w:val="center"/>
          </w:tcPr>
          <w:p w14:paraId="62BEE857" w14:textId="77777777" w:rsidR="00212D7A" w:rsidRPr="00986F86" w:rsidRDefault="00212D7A" w:rsidP="000D66F5">
            <w:pPr>
              <w:rPr>
                <w:rFonts w:asciiTheme="minorHAnsi" w:hAnsiTheme="minorHAnsi" w:cstheme="minorHAnsi"/>
                <w:color w:val="000000" w:themeColor="text1"/>
                <w:sz w:val="22"/>
                <w:szCs w:val="22"/>
              </w:rPr>
            </w:pPr>
          </w:p>
        </w:tc>
        <w:tc>
          <w:tcPr>
            <w:tcW w:w="1128" w:type="dxa"/>
            <w:shd w:val="clear" w:color="000000" w:fill="FFFFFF"/>
            <w:noWrap/>
            <w:vAlign w:val="center"/>
          </w:tcPr>
          <w:p w14:paraId="50E449DD" w14:textId="77777777" w:rsidR="00212D7A" w:rsidRPr="00986F86" w:rsidRDefault="00212D7A" w:rsidP="000D66F5">
            <w:pPr>
              <w:rPr>
                <w:rFonts w:asciiTheme="minorHAnsi" w:hAnsiTheme="minorHAnsi" w:cstheme="minorHAnsi"/>
                <w:color w:val="000000" w:themeColor="text1"/>
                <w:sz w:val="22"/>
                <w:szCs w:val="22"/>
              </w:rPr>
            </w:pPr>
          </w:p>
        </w:tc>
        <w:tc>
          <w:tcPr>
            <w:tcW w:w="1431" w:type="dxa"/>
            <w:shd w:val="clear" w:color="000000" w:fill="FFFFFF"/>
            <w:noWrap/>
            <w:vAlign w:val="center"/>
          </w:tcPr>
          <w:p w14:paraId="60F29194"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54C7C2FD"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0E905727"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526C3494"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C2A0190"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28AA517" w14:textId="77777777" w:rsidR="00212D7A" w:rsidRPr="00986F86" w:rsidRDefault="00212D7A" w:rsidP="000D66F5">
            <w:pPr>
              <w:jc w:val="center"/>
              <w:rPr>
                <w:rFonts w:asciiTheme="minorHAnsi" w:hAnsiTheme="minorHAnsi" w:cstheme="minorHAnsi"/>
                <w:color w:val="000000" w:themeColor="text1"/>
                <w:sz w:val="22"/>
                <w:szCs w:val="22"/>
              </w:rPr>
            </w:pPr>
          </w:p>
        </w:tc>
      </w:tr>
      <w:tr w:rsidR="00212D7A" w:rsidRPr="00986F86" w14:paraId="37B9B0B6" w14:textId="77777777" w:rsidTr="000D66F5">
        <w:trPr>
          <w:trHeight w:val="615"/>
        </w:trPr>
        <w:tc>
          <w:tcPr>
            <w:tcW w:w="1357" w:type="dxa"/>
            <w:shd w:val="clear" w:color="000000" w:fill="F5F5F5"/>
            <w:noWrap/>
            <w:vAlign w:val="center"/>
          </w:tcPr>
          <w:p w14:paraId="5E28B909" w14:textId="77777777" w:rsidR="00212D7A" w:rsidRPr="00986F86" w:rsidRDefault="00212D7A" w:rsidP="000D66F5">
            <w:pPr>
              <w:rPr>
                <w:rFonts w:asciiTheme="minorHAnsi" w:hAnsiTheme="minorHAnsi" w:cstheme="minorHAnsi"/>
                <w:color w:val="000000" w:themeColor="text1"/>
                <w:sz w:val="22"/>
                <w:szCs w:val="22"/>
              </w:rPr>
            </w:pPr>
          </w:p>
        </w:tc>
        <w:tc>
          <w:tcPr>
            <w:tcW w:w="1128" w:type="dxa"/>
            <w:shd w:val="clear" w:color="000000" w:fill="F5F5F5"/>
            <w:noWrap/>
            <w:vAlign w:val="center"/>
          </w:tcPr>
          <w:p w14:paraId="5B4F846E" w14:textId="77777777" w:rsidR="00212D7A" w:rsidRPr="00986F86" w:rsidRDefault="00212D7A" w:rsidP="000D66F5">
            <w:pPr>
              <w:rPr>
                <w:rFonts w:asciiTheme="minorHAnsi" w:hAnsiTheme="minorHAnsi" w:cstheme="minorHAnsi"/>
                <w:color w:val="000000" w:themeColor="text1"/>
                <w:sz w:val="22"/>
                <w:szCs w:val="22"/>
              </w:rPr>
            </w:pPr>
          </w:p>
        </w:tc>
        <w:tc>
          <w:tcPr>
            <w:tcW w:w="1431" w:type="dxa"/>
            <w:shd w:val="clear" w:color="000000" w:fill="F5F5F5"/>
            <w:noWrap/>
            <w:vAlign w:val="center"/>
          </w:tcPr>
          <w:p w14:paraId="14985AF6"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33E65188"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25D290CB"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1A09930A"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7C5AB18F"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3E5AAD5D" w14:textId="77777777" w:rsidR="00212D7A" w:rsidRPr="00986F86" w:rsidRDefault="00212D7A" w:rsidP="000D66F5">
            <w:pPr>
              <w:jc w:val="center"/>
              <w:rPr>
                <w:rFonts w:asciiTheme="minorHAnsi" w:hAnsiTheme="minorHAnsi" w:cstheme="minorHAnsi"/>
                <w:color w:val="000000" w:themeColor="text1"/>
                <w:sz w:val="22"/>
                <w:szCs w:val="22"/>
              </w:rPr>
            </w:pPr>
          </w:p>
        </w:tc>
      </w:tr>
      <w:tr w:rsidR="00212D7A" w:rsidRPr="00986F86" w14:paraId="069BE62F" w14:textId="77777777" w:rsidTr="000D66F5">
        <w:trPr>
          <w:trHeight w:val="615"/>
        </w:trPr>
        <w:tc>
          <w:tcPr>
            <w:tcW w:w="1357" w:type="dxa"/>
            <w:shd w:val="clear" w:color="000000" w:fill="FFFFFF"/>
            <w:noWrap/>
            <w:vAlign w:val="center"/>
          </w:tcPr>
          <w:p w14:paraId="69BD0D7B" w14:textId="77777777" w:rsidR="00212D7A" w:rsidRPr="00986F86" w:rsidRDefault="00212D7A" w:rsidP="000D66F5">
            <w:pPr>
              <w:rPr>
                <w:rFonts w:asciiTheme="minorHAnsi" w:hAnsiTheme="minorHAnsi" w:cstheme="minorHAnsi"/>
                <w:color w:val="000000" w:themeColor="text1"/>
                <w:sz w:val="22"/>
                <w:szCs w:val="22"/>
              </w:rPr>
            </w:pPr>
          </w:p>
        </w:tc>
        <w:tc>
          <w:tcPr>
            <w:tcW w:w="1128" w:type="dxa"/>
            <w:shd w:val="clear" w:color="000000" w:fill="FFFFFF"/>
            <w:noWrap/>
            <w:vAlign w:val="center"/>
          </w:tcPr>
          <w:p w14:paraId="14BB1FF2" w14:textId="77777777" w:rsidR="00212D7A" w:rsidRPr="00986F86" w:rsidRDefault="00212D7A" w:rsidP="000D66F5">
            <w:pPr>
              <w:rPr>
                <w:rFonts w:asciiTheme="minorHAnsi" w:hAnsiTheme="minorHAnsi" w:cstheme="minorHAnsi"/>
                <w:color w:val="000000" w:themeColor="text1"/>
                <w:sz w:val="22"/>
                <w:szCs w:val="22"/>
              </w:rPr>
            </w:pPr>
          </w:p>
        </w:tc>
        <w:tc>
          <w:tcPr>
            <w:tcW w:w="1431" w:type="dxa"/>
            <w:shd w:val="clear" w:color="000000" w:fill="FFFFFF"/>
            <w:noWrap/>
            <w:vAlign w:val="center"/>
          </w:tcPr>
          <w:p w14:paraId="69C54ED8"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516E9CB1"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B7E258B"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517306E8"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44DCE213" w14:textId="77777777" w:rsidR="00212D7A" w:rsidRPr="00986F86" w:rsidRDefault="00212D7A" w:rsidP="000D66F5">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68D9CD0A"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25DA3B9E" w14:textId="066DF9BB" w:rsidR="00212D7A" w:rsidRPr="00986F86" w:rsidRDefault="00CD69FC" w:rsidP="00212D7A">
      <w:pPr>
        <w:pStyle w:val="BodyText"/>
      </w:pPr>
      <w:r w:rsidRPr="00CA0FB3">
        <w:rPr>
          <w:b/>
        </w:rPr>
        <w:t>Rationale for inclusion:</w:t>
      </w:r>
      <w:r>
        <w:rPr>
          <w:b/>
        </w:rPr>
        <w:t xml:space="preserve"> </w:t>
      </w:r>
      <w:r w:rsidRPr="00CD69FC">
        <w:t>IPEDS completions data for competitors</w:t>
      </w:r>
      <w:r>
        <w:t xml:space="preserve"> identifies top institutional competitors and program size.  Competitors may be identified within or across markets.  </w:t>
      </w:r>
      <w:r>
        <w:rPr>
          <w:b/>
        </w:rPr>
        <w:t xml:space="preserve"> </w:t>
      </w:r>
    </w:p>
    <w:p w14:paraId="38EFAF84" w14:textId="77777777" w:rsidR="00CD69FC" w:rsidRDefault="00CD69FC" w:rsidP="00212D7A">
      <w:pPr>
        <w:pStyle w:val="BodyText"/>
      </w:pPr>
    </w:p>
    <w:p w14:paraId="067A6AFE" w14:textId="77777777" w:rsidR="00CD69FC" w:rsidRDefault="00CD69FC" w:rsidP="00212D7A">
      <w:pPr>
        <w:pStyle w:val="BodyText"/>
      </w:pPr>
    </w:p>
    <w:p w14:paraId="065D9CE9" w14:textId="77777777" w:rsidR="00CD69FC" w:rsidRDefault="00CD69FC">
      <w:pPr>
        <w:rPr>
          <w:rFonts w:asciiTheme="minorHAnsi" w:hAnsiTheme="minorHAnsi" w:cstheme="minorHAnsi"/>
          <w:color w:val="000000" w:themeColor="text1"/>
          <w:sz w:val="22"/>
          <w:szCs w:val="22"/>
        </w:rPr>
      </w:pPr>
      <w:r>
        <w:br w:type="page"/>
      </w:r>
    </w:p>
    <w:p w14:paraId="402DEC1F" w14:textId="44121FE0" w:rsidR="00212D7A" w:rsidRPr="00475D08" w:rsidRDefault="00212D7A" w:rsidP="00212D7A">
      <w:pPr>
        <w:pStyle w:val="BodyText"/>
      </w:pPr>
      <w:r w:rsidRPr="00475D08">
        <w:t>Job Posting and BLS Jobs Forecast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760"/>
        <w:gridCol w:w="1405"/>
        <w:gridCol w:w="1532"/>
        <w:gridCol w:w="1550"/>
        <w:gridCol w:w="1550"/>
        <w:gridCol w:w="1663"/>
      </w:tblGrid>
      <w:tr w:rsidR="00212D7A" w:rsidRPr="00986F86" w14:paraId="37EDEA15" w14:textId="77777777" w:rsidTr="000D66F5">
        <w:trPr>
          <w:trHeight w:val="1026"/>
        </w:trPr>
        <w:tc>
          <w:tcPr>
            <w:tcW w:w="1219" w:type="dxa"/>
            <w:shd w:val="clear" w:color="000000" w:fill="E1E1E1"/>
            <w:noWrap/>
            <w:vAlign w:val="center"/>
            <w:hideMark/>
          </w:tcPr>
          <w:p w14:paraId="3CC8454B"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w:t>
            </w:r>
          </w:p>
        </w:tc>
        <w:tc>
          <w:tcPr>
            <w:tcW w:w="1325" w:type="dxa"/>
            <w:shd w:val="clear" w:color="000000" w:fill="E1E1E1"/>
            <w:noWrap/>
            <w:vAlign w:val="center"/>
            <w:hideMark/>
          </w:tcPr>
          <w:p w14:paraId="6A171487"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Job Postings: Job Postings per Graduate</w:t>
            </w:r>
          </w:p>
        </w:tc>
        <w:tc>
          <w:tcPr>
            <w:tcW w:w="1058" w:type="dxa"/>
            <w:shd w:val="clear" w:color="000000" w:fill="E1E1E1"/>
            <w:vAlign w:val="center"/>
          </w:tcPr>
          <w:p w14:paraId="127B676C"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Job Openings per Graduate</w:t>
            </w:r>
          </w:p>
        </w:tc>
        <w:tc>
          <w:tcPr>
            <w:tcW w:w="1154" w:type="dxa"/>
            <w:shd w:val="clear" w:color="000000" w:fill="E1E1E1"/>
            <w:noWrap/>
            <w:vAlign w:val="center"/>
            <w:hideMark/>
          </w:tcPr>
          <w:p w14:paraId="233B4EB0"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Year-over-Year Change (%)</w:t>
            </w:r>
          </w:p>
        </w:tc>
        <w:tc>
          <w:tcPr>
            <w:tcW w:w="1167" w:type="dxa"/>
            <w:shd w:val="clear" w:color="000000" w:fill="E1E1E1"/>
            <w:noWrap/>
            <w:vAlign w:val="center"/>
            <w:hideMark/>
          </w:tcPr>
          <w:p w14:paraId="35466F1C"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3-Year Historic Growth (CAGR)</w:t>
            </w:r>
          </w:p>
        </w:tc>
        <w:tc>
          <w:tcPr>
            <w:tcW w:w="1167" w:type="dxa"/>
            <w:shd w:val="clear" w:color="000000" w:fill="E1E1E1"/>
            <w:noWrap/>
            <w:vAlign w:val="center"/>
            <w:hideMark/>
          </w:tcPr>
          <w:p w14:paraId="6A214F5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5-Year Historic Growth (CAGR)</w:t>
            </w:r>
          </w:p>
        </w:tc>
        <w:tc>
          <w:tcPr>
            <w:tcW w:w="1252" w:type="dxa"/>
            <w:shd w:val="clear" w:color="000000" w:fill="E1E1E1"/>
            <w:noWrap/>
            <w:vAlign w:val="center"/>
            <w:hideMark/>
          </w:tcPr>
          <w:p w14:paraId="1AEE02CB"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10-Year Forecast CAGR</w:t>
            </w:r>
          </w:p>
        </w:tc>
      </w:tr>
      <w:tr w:rsidR="00212D7A" w:rsidRPr="00986F86" w14:paraId="26004928" w14:textId="77777777" w:rsidTr="000D66F5">
        <w:trPr>
          <w:trHeight w:val="512"/>
        </w:trPr>
        <w:tc>
          <w:tcPr>
            <w:tcW w:w="1219" w:type="dxa"/>
            <w:shd w:val="clear" w:color="000000" w:fill="FFFFFF"/>
            <w:noWrap/>
            <w:vAlign w:val="center"/>
          </w:tcPr>
          <w:p w14:paraId="3D39F448" w14:textId="77777777" w:rsidR="00212D7A" w:rsidRPr="00986F86" w:rsidRDefault="00212D7A" w:rsidP="000D66F5">
            <w:pPr>
              <w:rPr>
                <w:rFonts w:asciiTheme="minorHAnsi" w:hAnsiTheme="minorHAnsi" w:cstheme="minorHAnsi"/>
                <w:color w:val="000000" w:themeColor="text1"/>
                <w:sz w:val="22"/>
                <w:szCs w:val="22"/>
              </w:rPr>
            </w:pPr>
          </w:p>
        </w:tc>
        <w:tc>
          <w:tcPr>
            <w:tcW w:w="1325" w:type="dxa"/>
            <w:shd w:val="clear" w:color="000000" w:fill="FFFFFF"/>
            <w:noWrap/>
            <w:vAlign w:val="center"/>
          </w:tcPr>
          <w:p w14:paraId="735D4106" w14:textId="77777777" w:rsidR="00212D7A" w:rsidRPr="00986F86" w:rsidRDefault="00212D7A" w:rsidP="000D66F5">
            <w:pPr>
              <w:jc w:val="center"/>
              <w:rPr>
                <w:rFonts w:asciiTheme="minorHAnsi" w:hAnsiTheme="minorHAnsi" w:cstheme="minorHAnsi"/>
                <w:color w:val="000000" w:themeColor="text1"/>
                <w:sz w:val="22"/>
                <w:szCs w:val="22"/>
              </w:rPr>
            </w:pPr>
          </w:p>
        </w:tc>
        <w:tc>
          <w:tcPr>
            <w:tcW w:w="1058" w:type="dxa"/>
            <w:shd w:val="clear" w:color="000000" w:fill="FFFFFF"/>
            <w:vAlign w:val="center"/>
          </w:tcPr>
          <w:p w14:paraId="5B947F56" w14:textId="77777777" w:rsidR="00212D7A" w:rsidRPr="00986F86" w:rsidRDefault="00212D7A" w:rsidP="000D66F5">
            <w:pPr>
              <w:jc w:val="center"/>
              <w:rPr>
                <w:rFonts w:asciiTheme="minorHAnsi" w:hAnsiTheme="minorHAnsi" w:cstheme="minorHAnsi"/>
                <w:color w:val="000000" w:themeColor="text1"/>
                <w:sz w:val="22"/>
                <w:szCs w:val="22"/>
              </w:rPr>
            </w:pPr>
          </w:p>
        </w:tc>
        <w:tc>
          <w:tcPr>
            <w:tcW w:w="1154" w:type="dxa"/>
            <w:shd w:val="clear" w:color="000000" w:fill="FFFFFF"/>
            <w:noWrap/>
            <w:vAlign w:val="center"/>
          </w:tcPr>
          <w:p w14:paraId="6AE5DF54" w14:textId="77777777" w:rsidR="00212D7A" w:rsidRPr="00986F86" w:rsidRDefault="00212D7A" w:rsidP="000D66F5">
            <w:pPr>
              <w:jc w:val="center"/>
              <w:rPr>
                <w:rFonts w:asciiTheme="minorHAnsi" w:hAnsiTheme="minorHAnsi" w:cstheme="minorHAnsi"/>
                <w:color w:val="000000" w:themeColor="text1"/>
                <w:sz w:val="22"/>
                <w:szCs w:val="22"/>
              </w:rPr>
            </w:pPr>
          </w:p>
        </w:tc>
        <w:tc>
          <w:tcPr>
            <w:tcW w:w="1167" w:type="dxa"/>
            <w:shd w:val="clear" w:color="000000" w:fill="FFFFFF"/>
            <w:noWrap/>
            <w:vAlign w:val="center"/>
          </w:tcPr>
          <w:p w14:paraId="0FB59899" w14:textId="77777777" w:rsidR="00212D7A" w:rsidRPr="00986F86" w:rsidRDefault="00212D7A" w:rsidP="000D66F5">
            <w:pPr>
              <w:jc w:val="center"/>
              <w:rPr>
                <w:rFonts w:asciiTheme="minorHAnsi" w:hAnsiTheme="minorHAnsi" w:cstheme="minorHAnsi"/>
                <w:color w:val="000000" w:themeColor="text1"/>
                <w:sz w:val="22"/>
                <w:szCs w:val="22"/>
              </w:rPr>
            </w:pPr>
          </w:p>
        </w:tc>
        <w:tc>
          <w:tcPr>
            <w:tcW w:w="1167" w:type="dxa"/>
            <w:shd w:val="clear" w:color="000000" w:fill="FFFFFF"/>
            <w:noWrap/>
            <w:vAlign w:val="center"/>
          </w:tcPr>
          <w:p w14:paraId="44ABDB75" w14:textId="77777777" w:rsidR="00212D7A" w:rsidRPr="00986F86" w:rsidRDefault="00212D7A" w:rsidP="000D66F5">
            <w:pPr>
              <w:jc w:val="center"/>
              <w:rPr>
                <w:rFonts w:asciiTheme="minorHAnsi" w:hAnsiTheme="minorHAnsi" w:cstheme="minorHAnsi"/>
                <w:color w:val="000000" w:themeColor="text1"/>
                <w:sz w:val="22"/>
                <w:szCs w:val="22"/>
              </w:rPr>
            </w:pPr>
          </w:p>
        </w:tc>
        <w:tc>
          <w:tcPr>
            <w:tcW w:w="1252" w:type="dxa"/>
            <w:shd w:val="clear" w:color="000000" w:fill="FFFFFF"/>
            <w:noWrap/>
            <w:vAlign w:val="center"/>
          </w:tcPr>
          <w:p w14:paraId="100EE1FC"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74033761" w14:textId="50594387" w:rsidR="00212D7A" w:rsidRDefault="00212D7A" w:rsidP="00212D7A">
      <w:pPr>
        <w:rPr>
          <w:rFonts w:asciiTheme="minorHAnsi" w:hAnsiTheme="minorHAnsi" w:cstheme="minorHAnsi"/>
          <w:color w:val="000000" w:themeColor="text1"/>
          <w:sz w:val="22"/>
          <w:szCs w:val="22"/>
        </w:rPr>
      </w:pPr>
    </w:p>
    <w:p w14:paraId="0B806451" w14:textId="79B9A219" w:rsidR="00CD69FC" w:rsidRPr="00CD69FC" w:rsidRDefault="00CD69FC" w:rsidP="00212D7A">
      <w:pPr>
        <w:rPr>
          <w:rFonts w:asciiTheme="minorHAnsi" w:hAnsiTheme="minorHAnsi" w:cstheme="minorHAnsi"/>
          <w:color w:val="000000" w:themeColor="text1"/>
          <w:sz w:val="22"/>
          <w:szCs w:val="22"/>
        </w:rPr>
      </w:pPr>
      <w:r w:rsidRPr="00CA0FB3">
        <w:rPr>
          <w:rFonts w:cstheme="minorHAnsi"/>
          <w:b/>
          <w:color w:val="000000" w:themeColor="text1"/>
        </w:rPr>
        <w:t>Rationale for inclusion:</w:t>
      </w:r>
      <w:r>
        <w:rPr>
          <w:rFonts w:cstheme="minorHAnsi"/>
          <w:b/>
          <w:color w:val="000000" w:themeColor="text1"/>
        </w:rPr>
        <w:t xml:space="preserve"> </w:t>
      </w:r>
      <w:r>
        <w:rPr>
          <w:rFonts w:cstheme="minorHAnsi"/>
          <w:color w:val="000000" w:themeColor="text1"/>
        </w:rPr>
        <w:t xml:space="preserve">Job Postings and BLS Jobs Forecast provides a employability impacting post-matriculation value to students </w:t>
      </w:r>
    </w:p>
    <w:tbl>
      <w:tblPr>
        <w:tblpPr w:leftFromText="180" w:rightFromText="180" w:vertAnchor="text" w:horzAnchor="margin" w:tblpY="742"/>
        <w:tblW w:w="5000" w:type="pct"/>
        <w:tblLook w:val="04A0" w:firstRow="1" w:lastRow="0" w:firstColumn="1" w:lastColumn="0" w:noHBand="0" w:noVBand="1"/>
      </w:tblPr>
      <w:tblGrid>
        <w:gridCol w:w="3998"/>
        <w:gridCol w:w="3539"/>
        <w:gridCol w:w="3541"/>
      </w:tblGrid>
      <w:tr w:rsidR="00212D7A" w:rsidRPr="00986F86" w14:paraId="42C0A411" w14:textId="77777777" w:rsidTr="000D66F5">
        <w:trPr>
          <w:trHeight w:val="755"/>
        </w:trPr>
        <w:tc>
          <w:tcPr>
            <w:tcW w:w="3459" w:type="dxa"/>
            <w:tcBorders>
              <w:top w:val="single" w:sz="4" w:space="0" w:color="000000"/>
              <w:left w:val="single" w:sz="4" w:space="0" w:color="000000"/>
              <w:bottom w:val="single" w:sz="4" w:space="0" w:color="000000"/>
              <w:right w:val="single" w:sz="4" w:space="0" w:color="000000"/>
            </w:tcBorders>
            <w:shd w:val="clear" w:color="000000" w:fill="E1E1E1"/>
            <w:noWrap/>
            <w:vAlign w:val="center"/>
            <w:hideMark/>
          </w:tcPr>
          <w:p w14:paraId="3A7078C1"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w:t>
            </w:r>
          </w:p>
        </w:tc>
        <w:tc>
          <w:tcPr>
            <w:tcW w:w="3061" w:type="dxa"/>
            <w:tcBorders>
              <w:top w:val="single" w:sz="4" w:space="0" w:color="000000"/>
              <w:left w:val="nil"/>
              <w:bottom w:val="single" w:sz="4" w:space="0" w:color="000000"/>
              <w:right w:val="single" w:sz="4" w:space="0" w:color="000000"/>
            </w:tcBorders>
            <w:shd w:val="clear" w:color="000000" w:fill="E1E1E1"/>
            <w:noWrap/>
            <w:vAlign w:val="center"/>
            <w:hideMark/>
          </w:tcPr>
          <w:p w14:paraId="07D548F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10th-Percentile Wages</w:t>
            </w:r>
          </w:p>
        </w:tc>
        <w:tc>
          <w:tcPr>
            <w:tcW w:w="3063" w:type="dxa"/>
            <w:tcBorders>
              <w:top w:val="single" w:sz="4" w:space="0" w:color="000000"/>
              <w:left w:val="nil"/>
              <w:bottom w:val="single" w:sz="4" w:space="0" w:color="000000"/>
              <w:right w:val="single" w:sz="4" w:space="0" w:color="000000"/>
            </w:tcBorders>
            <w:shd w:val="clear" w:color="000000" w:fill="E1E1E1"/>
            <w:noWrap/>
            <w:vAlign w:val="center"/>
            <w:hideMark/>
          </w:tcPr>
          <w:p w14:paraId="1C5D4F87"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25th-Percentile Wages</w:t>
            </w:r>
          </w:p>
        </w:tc>
      </w:tr>
      <w:tr w:rsidR="00212D7A" w:rsidRPr="00986F86" w14:paraId="6D1429B2" w14:textId="77777777" w:rsidTr="000D66F5">
        <w:trPr>
          <w:trHeight w:val="377"/>
        </w:trPr>
        <w:tc>
          <w:tcPr>
            <w:tcW w:w="3459" w:type="dxa"/>
            <w:tcBorders>
              <w:top w:val="nil"/>
              <w:left w:val="single" w:sz="4" w:space="0" w:color="000000"/>
              <w:bottom w:val="single" w:sz="4" w:space="0" w:color="000000"/>
              <w:right w:val="single" w:sz="4" w:space="0" w:color="000000"/>
            </w:tcBorders>
            <w:shd w:val="clear" w:color="000000" w:fill="FFFFFF"/>
            <w:noWrap/>
            <w:vAlign w:val="center"/>
          </w:tcPr>
          <w:p w14:paraId="7362F897" w14:textId="77777777" w:rsidR="00212D7A" w:rsidRPr="00986F86" w:rsidRDefault="00212D7A" w:rsidP="000D66F5">
            <w:pPr>
              <w:rPr>
                <w:rFonts w:asciiTheme="minorHAnsi" w:hAnsiTheme="minorHAnsi" w:cstheme="minorHAnsi"/>
                <w:color w:val="000000" w:themeColor="text1"/>
                <w:sz w:val="22"/>
                <w:szCs w:val="22"/>
              </w:rPr>
            </w:pPr>
          </w:p>
        </w:tc>
        <w:tc>
          <w:tcPr>
            <w:tcW w:w="3061" w:type="dxa"/>
            <w:tcBorders>
              <w:top w:val="nil"/>
              <w:left w:val="nil"/>
              <w:bottom w:val="single" w:sz="4" w:space="0" w:color="000000"/>
              <w:right w:val="single" w:sz="4" w:space="0" w:color="000000"/>
            </w:tcBorders>
            <w:shd w:val="clear" w:color="000000" w:fill="FFFFFF"/>
            <w:noWrap/>
            <w:vAlign w:val="center"/>
          </w:tcPr>
          <w:p w14:paraId="36E79F95" w14:textId="77777777" w:rsidR="00212D7A" w:rsidRPr="00986F86" w:rsidRDefault="00212D7A" w:rsidP="000D66F5">
            <w:pPr>
              <w:jc w:val="center"/>
              <w:rPr>
                <w:rFonts w:asciiTheme="minorHAnsi" w:hAnsiTheme="minorHAnsi" w:cstheme="minorHAnsi"/>
                <w:color w:val="000000" w:themeColor="text1"/>
                <w:sz w:val="22"/>
                <w:szCs w:val="22"/>
              </w:rPr>
            </w:pPr>
          </w:p>
        </w:tc>
        <w:tc>
          <w:tcPr>
            <w:tcW w:w="3063" w:type="dxa"/>
            <w:tcBorders>
              <w:top w:val="nil"/>
              <w:left w:val="nil"/>
              <w:bottom w:val="single" w:sz="4" w:space="0" w:color="000000"/>
              <w:right w:val="single" w:sz="4" w:space="0" w:color="000000"/>
            </w:tcBorders>
            <w:shd w:val="clear" w:color="000000" w:fill="FFFFFF"/>
            <w:noWrap/>
            <w:vAlign w:val="center"/>
          </w:tcPr>
          <w:p w14:paraId="6EE1F22A"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399075FE" w14:textId="77777777" w:rsidR="00212D7A" w:rsidRDefault="00212D7A" w:rsidP="00212D7A">
      <w:pPr>
        <w:ind w:left="1260"/>
        <w:rPr>
          <w:rFonts w:asciiTheme="minorHAnsi" w:hAnsiTheme="minorHAnsi" w:cstheme="minorHAnsi"/>
          <w:color w:val="000000" w:themeColor="text1"/>
          <w:sz w:val="22"/>
          <w:szCs w:val="22"/>
        </w:rPr>
      </w:pPr>
    </w:p>
    <w:p w14:paraId="760B7380" w14:textId="77777777" w:rsidR="00212D7A" w:rsidRDefault="00212D7A" w:rsidP="00212D7A">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BLS Direct Prep Salary Table</w:t>
      </w:r>
    </w:p>
    <w:p w14:paraId="02E151A9" w14:textId="77777777" w:rsidR="00CD69FC" w:rsidRDefault="00CD69FC" w:rsidP="00212D7A">
      <w:pPr>
        <w:ind w:left="1260"/>
        <w:rPr>
          <w:rFonts w:asciiTheme="minorHAnsi" w:hAnsiTheme="minorHAnsi" w:cstheme="minorHAnsi"/>
          <w:color w:val="000000" w:themeColor="text1"/>
          <w:sz w:val="22"/>
          <w:szCs w:val="22"/>
        </w:rPr>
      </w:pPr>
    </w:p>
    <w:p w14:paraId="77380CB6" w14:textId="77777777" w:rsidR="00CD69FC" w:rsidRDefault="00CD69FC" w:rsidP="00212D7A">
      <w:pPr>
        <w:rPr>
          <w:rFonts w:asciiTheme="minorHAnsi" w:hAnsiTheme="minorHAnsi" w:cstheme="minorHAnsi"/>
          <w:color w:val="000000" w:themeColor="text1"/>
          <w:sz w:val="22"/>
          <w:szCs w:val="22"/>
        </w:rPr>
      </w:pPr>
      <w:r w:rsidRPr="00CA0FB3">
        <w:rPr>
          <w:rFonts w:cstheme="minorHAnsi"/>
          <w:b/>
          <w:color w:val="000000" w:themeColor="text1"/>
        </w:rPr>
        <w:t>Rationale for inclusion:</w:t>
      </w:r>
      <w:r>
        <w:rPr>
          <w:rFonts w:cstheme="minorHAnsi"/>
          <w:b/>
          <w:color w:val="000000" w:themeColor="text1"/>
        </w:rPr>
        <w:t xml:space="preserve"> </w:t>
      </w:r>
      <w:r w:rsidRPr="00CD69FC">
        <w:rPr>
          <w:rFonts w:cstheme="minorHAnsi"/>
          <w:color w:val="000000" w:themeColor="text1"/>
        </w:rPr>
        <w:t xml:space="preserve">Predictive of </w:t>
      </w:r>
      <w:r>
        <w:rPr>
          <w:rFonts w:cstheme="minorHAnsi"/>
          <w:color w:val="000000" w:themeColor="text1"/>
        </w:rPr>
        <w:t xml:space="preserve">post matriculation </w:t>
      </w:r>
      <w:r w:rsidRPr="00CD69FC">
        <w:rPr>
          <w:rFonts w:cstheme="minorHAnsi"/>
          <w:color w:val="000000" w:themeColor="text1"/>
        </w:rPr>
        <w:t>salary</w:t>
      </w:r>
      <w:r>
        <w:rPr>
          <w:rFonts w:cstheme="minorHAnsi"/>
          <w:color w:val="000000" w:themeColor="text1"/>
        </w:rPr>
        <w:t xml:space="preserve"> expectations </w:t>
      </w:r>
      <w:r w:rsidRPr="00CD69FC">
        <w:rPr>
          <w:rFonts w:cstheme="minorHAnsi"/>
          <w:color w:val="000000" w:themeColor="text1"/>
        </w:rPr>
        <w:t>post-matriculation.</w:t>
      </w:r>
      <w:r>
        <w:rPr>
          <w:rFonts w:cstheme="minorHAnsi"/>
          <w:b/>
          <w:color w:val="000000" w:themeColor="text1"/>
        </w:rPr>
        <w:t xml:space="preserve"> </w:t>
      </w:r>
    </w:p>
    <w:p w14:paraId="6318B43E" w14:textId="77777777" w:rsidR="00CD69FC" w:rsidRDefault="00CD69FC" w:rsidP="00212D7A">
      <w:pPr>
        <w:rPr>
          <w:rFonts w:asciiTheme="minorHAnsi" w:hAnsiTheme="minorHAnsi" w:cstheme="minorHAnsi"/>
          <w:color w:val="000000" w:themeColor="text1"/>
          <w:sz w:val="22"/>
          <w:szCs w:val="22"/>
        </w:rPr>
      </w:pPr>
    </w:p>
    <w:p w14:paraId="2D51638D" w14:textId="3C4CA312" w:rsidR="00212D7A" w:rsidRPr="00986F86" w:rsidRDefault="00212D7A" w:rsidP="00212D7A">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 xml:space="preserve">BLS Workforce Educational Attainment Table </w:t>
      </w:r>
    </w:p>
    <w:tbl>
      <w:tblPr>
        <w:tblW w:w="498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76"/>
        <w:gridCol w:w="1592"/>
        <w:gridCol w:w="1576"/>
        <w:gridCol w:w="1576"/>
        <w:gridCol w:w="1576"/>
        <w:gridCol w:w="1576"/>
      </w:tblGrid>
      <w:tr w:rsidR="00212D7A" w:rsidRPr="00986F86" w14:paraId="49677D04" w14:textId="77777777" w:rsidTr="000D66F5">
        <w:trPr>
          <w:trHeight w:val="1178"/>
        </w:trPr>
        <w:tc>
          <w:tcPr>
            <w:tcW w:w="1331" w:type="dxa"/>
            <w:shd w:val="clear" w:color="000000" w:fill="E1E1E1"/>
            <w:noWrap/>
            <w:vAlign w:val="center"/>
            <w:hideMark/>
          </w:tcPr>
          <w:p w14:paraId="2664D19F"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No College</w:t>
            </w:r>
          </w:p>
        </w:tc>
        <w:tc>
          <w:tcPr>
            <w:tcW w:w="1331" w:type="dxa"/>
            <w:shd w:val="clear" w:color="000000" w:fill="E1E1E1"/>
            <w:noWrap/>
            <w:vAlign w:val="center"/>
            <w:hideMark/>
          </w:tcPr>
          <w:p w14:paraId="04CA797D"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Some College</w:t>
            </w:r>
          </w:p>
        </w:tc>
        <w:tc>
          <w:tcPr>
            <w:tcW w:w="1344" w:type="dxa"/>
            <w:shd w:val="clear" w:color="000000" w:fill="E1E1E1"/>
            <w:noWrap/>
            <w:vAlign w:val="center"/>
            <w:hideMark/>
          </w:tcPr>
          <w:p w14:paraId="66A350C7"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Associates</w:t>
            </w:r>
          </w:p>
        </w:tc>
        <w:tc>
          <w:tcPr>
            <w:tcW w:w="1331" w:type="dxa"/>
            <w:shd w:val="clear" w:color="000000" w:fill="E1E1E1"/>
            <w:noWrap/>
            <w:vAlign w:val="center"/>
            <w:hideMark/>
          </w:tcPr>
          <w:p w14:paraId="225ECE1E"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Bachelors</w:t>
            </w:r>
          </w:p>
        </w:tc>
        <w:tc>
          <w:tcPr>
            <w:tcW w:w="1331" w:type="dxa"/>
            <w:shd w:val="clear" w:color="000000" w:fill="E1E1E1"/>
            <w:noWrap/>
            <w:vAlign w:val="center"/>
            <w:hideMark/>
          </w:tcPr>
          <w:p w14:paraId="2A1616FD"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Masters</w:t>
            </w:r>
          </w:p>
        </w:tc>
        <w:tc>
          <w:tcPr>
            <w:tcW w:w="1331" w:type="dxa"/>
            <w:shd w:val="clear" w:color="000000" w:fill="E1E1E1"/>
            <w:noWrap/>
            <w:vAlign w:val="center"/>
            <w:hideMark/>
          </w:tcPr>
          <w:p w14:paraId="2C7CA354"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Doctoral</w:t>
            </w:r>
          </w:p>
        </w:tc>
        <w:tc>
          <w:tcPr>
            <w:tcW w:w="1331" w:type="dxa"/>
            <w:shd w:val="clear" w:color="000000" w:fill="E1E1E1"/>
            <w:noWrap/>
            <w:vAlign w:val="center"/>
            <w:hideMark/>
          </w:tcPr>
          <w:p w14:paraId="4492A8EE"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Graduate</w:t>
            </w:r>
          </w:p>
        </w:tc>
      </w:tr>
      <w:tr w:rsidR="00212D7A" w:rsidRPr="00986F86" w14:paraId="2648DA18" w14:textId="77777777" w:rsidTr="000D66F5">
        <w:trPr>
          <w:trHeight w:val="589"/>
        </w:trPr>
        <w:tc>
          <w:tcPr>
            <w:tcW w:w="1331" w:type="dxa"/>
            <w:shd w:val="clear" w:color="000000" w:fill="FFFFFF"/>
            <w:noWrap/>
            <w:vAlign w:val="center"/>
          </w:tcPr>
          <w:p w14:paraId="2233D207" w14:textId="77777777" w:rsidR="00212D7A" w:rsidRPr="00986F86" w:rsidRDefault="00212D7A" w:rsidP="000D66F5">
            <w:pPr>
              <w:jc w:val="center"/>
              <w:rPr>
                <w:rFonts w:asciiTheme="minorHAnsi" w:hAnsiTheme="minorHAnsi" w:cstheme="minorHAnsi"/>
                <w:color w:val="000000" w:themeColor="text1"/>
                <w:sz w:val="22"/>
                <w:szCs w:val="22"/>
              </w:rPr>
            </w:pPr>
          </w:p>
        </w:tc>
        <w:tc>
          <w:tcPr>
            <w:tcW w:w="1331" w:type="dxa"/>
            <w:shd w:val="clear" w:color="000000" w:fill="FFFFFF"/>
            <w:noWrap/>
            <w:vAlign w:val="center"/>
          </w:tcPr>
          <w:p w14:paraId="390D2CA3" w14:textId="77777777" w:rsidR="00212D7A" w:rsidRPr="00986F86" w:rsidRDefault="00212D7A" w:rsidP="000D66F5">
            <w:pPr>
              <w:jc w:val="center"/>
              <w:rPr>
                <w:rFonts w:asciiTheme="minorHAnsi" w:hAnsiTheme="minorHAnsi" w:cstheme="minorHAnsi"/>
                <w:color w:val="000000" w:themeColor="text1"/>
                <w:sz w:val="22"/>
                <w:szCs w:val="22"/>
              </w:rPr>
            </w:pPr>
          </w:p>
        </w:tc>
        <w:tc>
          <w:tcPr>
            <w:tcW w:w="1344" w:type="dxa"/>
            <w:shd w:val="clear" w:color="000000" w:fill="FFFFFF"/>
            <w:noWrap/>
            <w:vAlign w:val="center"/>
          </w:tcPr>
          <w:p w14:paraId="497637BD" w14:textId="77777777" w:rsidR="00212D7A" w:rsidRPr="00986F86" w:rsidRDefault="00212D7A" w:rsidP="000D66F5">
            <w:pPr>
              <w:jc w:val="center"/>
              <w:rPr>
                <w:rFonts w:asciiTheme="minorHAnsi" w:hAnsiTheme="minorHAnsi" w:cstheme="minorHAnsi"/>
                <w:color w:val="000000" w:themeColor="text1"/>
                <w:sz w:val="22"/>
                <w:szCs w:val="22"/>
              </w:rPr>
            </w:pPr>
          </w:p>
        </w:tc>
        <w:tc>
          <w:tcPr>
            <w:tcW w:w="1331" w:type="dxa"/>
            <w:shd w:val="clear" w:color="000000" w:fill="FFFFFF"/>
            <w:noWrap/>
            <w:vAlign w:val="center"/>
          </w:tcPr>
          <w:p w14:paraId="57453549" w14:textId="77777777" w:rsidR="00212D7A" w:rsidRPr="00986F86" w:rsidRDefault="00212D7A" w:rsidP="000D66F5">
            <w:pPr>
              <w:jc w:val="center"/>
              <w:rPr>
                <w:rFonts w:asciiTheme="minorHAnsi" w:hAnsiTheme="minorHAnsi" w:cstheme="minorHAnsi"/>
                <w:color w:val="000000" w:themeColor="text1"/>
                <w:sz w:val="22"/>
                <w:szCs w:val="22"/>
              </w:rPr>
            </w:pPr>
          </w:p>
        </w:tc>
        <w:tc>
          <w:tcPr>
            <w:tcW w:w="1331" w:type="dxa"/>
            <w:shd w:val="clear" w:color="000000" w:fill="F5F5F5"/>
            <w:noWrap/>
            <w:vAlign w:val="center"/>
          </w:tcPr>
          <w:p w14:paraId="151A1361" w14:textId="77777777" w:rsidR="00212D7A" w:rsidRPr="00986F86" w:rsidRDefault="00212D7A" w:rsidP="000D66F5">
            <w:pPr>
              <w:jc w:val="center"/>
              <w:rPr>
                <w:rFonts w:asciiTheme="minorHAnsi" w:hAnsiTheme="minorHAnsi" w:cstheme="minorHAnsi"/>
                <w:color w:val="000000" w:themeColor="text1"/>
                <w:sz w:val="22"/>
                <w:szCs w:val="22"/>
              </w:rPr>
            </w:pPr>
          </w:p>
        </w:tc>
        <w:tc>
          <w:tcPr>
            <w:tcW w:w="1331" w:type="dxa"/>
            <w:shd w:val="clear" w:color="000000" w:fill="F5F5F5"/>
            <w:noWrap/>
            <w:vAlign w:val="center"/>
          </w:tcPr>
          <w:p w14:paraId="24662C42" w14:textId="77777777" w:rsidR="00212D7A" w:rsidRPr="00986F86" w:rsidRDefault="00212D7A" w:rsidP="000D66F5">
            <w:pPr>
              <w:jc w:val="center"/>
              <w:rPr>
                <w:rFonts w:asciiTheme="minorHAnsi" w:hAnsiTheme="minorHAnsi" w:cstheme="minorHAnsi"/>
                <w:color w:val="000000" w:themeColor="text1"/>
                <w:sz w:val="22"/>
                <w:szCs w:val="22"/>
              </w:rPr>
            </w:pPr>
          </w:p>
        </w:tc>
        <w:tc>
          <w:tcPr>
            <w:tcW w:w="1331" w:type="dxa"/>
            <w:shd w:val="clear" w:color="000000" w:fill="FFFFFF"/>
            <w:noWrap/>
            <w:vAlign w:val="center"/>
          </w:tcPr>
          <w:p w14:paraId="7EBCA668" w14:textId="77777777" w:rsidR="00212D7A" w:rsidRPr="00986F86" w:rsidRDefault="00212D7A" w:rsidP="000D66F5">
            <w:pPr>
              <w:jc w:val="center"/>
              <w:rPr>
                <w:rFonts w:asciiTheme="minorHAnsi" w:hAnsiTheme="minorHAnsi" w:cstheme="minorHAnsi"/>
                <w:color w:val="000000" w:themeColor="text1"/>
                <w:sz w:val="22"/>
                <w:szCs w:val="22"/>
              </w:rPr>
            </w:pPr>
          </w:p>
        </w:tc>
      </w:tr>
    </w:tbl>
    <w:p w14:paraId="53E39D5D" w14:textId="45C78C09" w:rsidR="00212D7A" w:rsidRDefault="00212D7A" w:rsidP="00212D7A">
      <w:pPr>
        <w:pStyle w:val="BodyText"/>
      </w:pPr>
    </w:p>
    <w:p w14:paraId="13540320" w14:textId="34D747DA" w:rsidR="00CD69FC" w:rsidRDefault="00CD69FC" w:rsidP="00212D7A">
      <w:pPr>
        <w:pStyle w:val="BodyText"/>
      </w:pPr>
      <w:r w:rsidRPr="00CA0FB3">
        <w:rPr>
          <w:b/>
        </w:rPr>
        <w:t>Rationale for inclusion:</w:t>
      </w:r>
      <w:r>
        <w:rPr>
          <w:b/>
        </w:rPr>
        <w:t xml:space="preserve"> </w:t>
      </w:r>
      <w:r>
        <w:t xml:space="preserve">Descriptive of level of education attainment needed for employability within the </w:t>
      </w:r>
      <w:r w:rsidR="004B2DDE">
        <w:t xml:space="preserve">field. </w:t>
      </w:r>
    </w:p>
    <w:p w14:paraId="77DDE759" w14:textId="77777777" w:rsidR="00CD69FC" w:rsidRPr="00986F86" w:rsidRDefault="00CD69FC" w:rsidP="00212D7A">
      <w:pPr>
        <w:pStyle w:val="BodyText"/>
      </w:pPr>
    </w:p>
    <w:p w14:paraId="5E18E009" w14:textId="77777777" w:rsidR="00212D7A" w:rsidRPr="00475D08" w:rsidRDefault="00212D7A" w:rsidP="00212D7A">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Inquiry and</w:t>
      </w:r>
      <w:r>
        <w:rPr>
          <w:rFonts w:asciiTheme="minorHAnsi" w:hAnsiTheme="minorHAnsi" w:cstheme="minorHAnsi"/>
          <w:color w:val="000000" w:themeColor="text1"/>
          <w:sz w:val="22"/>
          <w:szCs w:val="22"/>
        </w:rPr>
        <w:t xml:space="preserve"> Completions Awards Level Table</w:t>
      </w:r>
    </w:p>
    <w:tbl>
      <w:tblPr>
        <w:tblW w:w="7440" w:type="dxa"/>
        <w:tblLook w:val="04A0" w:firstRow="1" w:lastRow="0" w:firstColumn="1" w:lastColumn="0" w:noHBand="0" w:noVBand="1"/>
      </w:tblPr>
      <w:tblGrid>
        <w:gridCol w:w="3080"/>
        <w:gridCol w:w="1200"/>
        <w:gridCol w:w="1520"/>
        <w:gridCol w:w="1640"/>
      </w:tblGrid>
      <w:tr w:rsidR="00212D7A" w:rsidRPr="00986F86" w14:paraId="1D481B55" w14:textId="77777777" w:rsidTr="000D66F5">
        <w:trPr>
          <w:trHeight w:val="650"/>
        </w:trPr>
        <w:tc>
          <w:tcPr>
            <w:tcW w:w="3080" w:type="dxa"/>
            <w:tcBorders>
              <w:top w:val="single" w:sz="4" w:space="0" w:color="000000"/>
              <w:left w:val="nil"/>
              <w:bottom w:val="single" w:sz="4" w:space="0" w:color="000000"/>
              <w:right w:val="nil"/>
            </w:tcBorders>
            <w:shd w:val="clear" w:color="000000" w:fill="E6E6E6"/>
            <w:noWrap/>
            <w:vAlign w:val="center"/>
            <w:hideMark/>
          </w:tcPr>
          <w:p w14:paraId="7B579EA5" w14:textId="77777777" w:rsidR="00212D7A" w:rsidRPr="00986F86" w:rsidRDefault="00212D7A" w:rsidP="000D66F5">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Award Level</w:t>
            </w:r>
          </w:p>
        </w:tc>
        <w:tc>
          <w:tcPr>
            <w:tcW w:w="1200" w:type="dxa"/>
            <w:tcBorders>
              <w:top w:val="single" w:sz="4" w:space="0" w:color="000000"/>
              <w:left w:val="nil"/>
              <w:bottom w:val="single" w:sz="4" w:space="0" w:color="000000"/>
              <w:right w:val="nil"/>
            </w:tcBorders>
            <w:shd w:val="clear" w:color="000000" w:fill="E6E6E6"/>
            <w:noWrap/>
            <w:vAlign w:val="center"/>
            <w:hideMark/>
          </w:tcPr>
          <w:p w14:paraId="6B6E16ED" w14:textId="77777777" w:rsidR="00212D7A" w:rsidRPr="00986F86" w:rsidRDefault="00212D7A" w:rsidP="000D66F5">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Inquiries</w:t>
            </w:r>
            <w:r w:rsidRPr="00986F86">
              <w:rPr>
                <w:rFonts w:asciiTheme="minorHAnsi" w:hAnsiTheme="minorHAnsi" w:cstheme="minorHAnsi"/>
                <w:b/>
                <w:bCs/>
                <w:color w:val="000000" w:themeColor="text1"/>
                <w:sz w:val="22"/>
                <w:szCs w:val="22"/>
              </w:rPr>
              <w:br/>
              <w:t>(Market)</w:t>
            </w:r>
          </w:p>
        </w:tc>
        <w:tc>
          <w:tcPr>
            <w:tcW w:w="1520" w:type="dxa"/>
            <w:tcBorders>
              <w:top w:val="single" w:sz="4" w:space="0" w:color="000000"/>
              <w:left w:val="nil"/>
              <w:bottom w:val="single" w:sz="4" w:space="0" w:color="000000"/>
              <w:right w:val="nil"/>
            </w:tcBorders>
            <w:shd w:val="clear" w:color="000000" w:fill="E6E6E6"/>
            <w:noWrap/>
            <w:vAlign w:val="center"/>
            <w:hideMark/>
          </w:tcPr>
          <w:p w14:paraId="79726D04" w14:textId="77777777" w:rsidR="00212D7A" w:rsidRPr="00986F86" w:rsidRDefault="00212D7A" w:rsidP="000D66F5">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Completions</w:t>
            </w:r>
            <w:r w:rsidRPr="00986F86">
              <w:rPr>
                <w:rFonts w:asciiTheme="minorHAnsi" w:hAnsiTheme="minorHAnsi" w:cstheme="minorHAnsi"/>
                <w:b/>
                <w:bCs/>
                <w:color w:val="000000" w:themeColor="text1"/>
                <w:sz w:val="22"/>
                <w:szCs w:val="22"/>
              </w:rPr>
              <w:br/>
              <w:t>(Market)</w:t>
            </w:r>
          </w:p>
        </w:tc>
        <w:tc>
          <w:tcPr>
            <w:tcW w:w="1640" w:type="dxa"/>
            <w:tcBorders>
              <w:top w:val="single" w:sz="4" w:space="0" w:color="000000"/>
              <w:left w:val="nil"/>
              <w:bottom w:val="single" w:sz="4" w:space="0" w:color="000000"/>
              <w:right w:val="nil"/>
            </w:tcBorders>
            <w:shd w:val="clear" w:color="000000" w:fill="E6E6E6"/>
            <w:noWrap/>
            <w:vAlign w:val="center"/>
            <w:hideMark/>
          </w:tcPr>
          <w:p w14:paraId="35CD3A73" w14:textId="77777777" w:rsidR="00212D7A" w:rsidRPr="00986F86" w:rsidRDefault="00212D7A" w:rsidP="000D66F5">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 xml:space="preserve">Completions  </w:t>
            </w:r>
            <w:r w:rsidRPr="00986F86">
              <w:rPr>
                <w:rFonts w:asciiTheme="minorHAnsi" w:hAnsiTheme="minorHAnsi" w:cstheme="minorHAnsi"/>
                <w:b/>
                <w:bCs/>
                <w:color w:val="000000" w:themeColor="text1"/>
                <w:sz w:val="22"/>
                <w:szCs w:val="22"/>
              </w:rPr>
              <w:br/>
              <w:t>(National)</w:t>
            </w:r>
          </w:p>
        </w:tc>
      </w:tr>
      <w:tr w:rsidR="00212D7A" w:rsidRPr="00986F86" w14:paraId="0E683784" w14:textId="77777777" w:rsidTr="000D66F5">
        <w:trPr>
          <w:trHeight w:val="325"/>
        </w:trPr>
        <w:tc>
          <w:tcPr>
            <w:tcW w:w="3080" w:type="dxa"/>
            <w:tcBorders>
              <w:top w:val="nil"/>
              <w:left w:val="nil"/>
              <w:bottom w:val="nil"/>
              <w:right w:val="nil"/>
            </w:tcBorders>
            <w:shd w:val="clear" w:color="000000" w:fill="FFFFFF"/>
            <w:noWrap/>
            <w:vAlign w:val="center"/>
            <w:hideMark/>
          </w:tcPr>
          <w:p w14:paraId="724D3F47" w14:textId="77777777" w:rsidR="00212D7A" w:rsidRPr="00986F86" w:rsidRDefault="00212D7A" w:rsidP="000D66F5">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Certificate</w:t>
            </w:r>
          </w:p>
        </w:tc>
        <w:tc>
          <w:tcPr>
            <w:tcW w:w="1200" w:type="dxa"/>
            <w:tcBorders>
              <w:top w:val="nil"/>
              <w:left w:val="nil"/>
              <w:bottom w:val="nil"/>
              <w:right w:val="nil"/>
            </w:tcBorders>
            <w:shd w:val="clear" w:color="000000" w:fill="FFFFFF"/>
            <w:noWrap/>
            <w:vAlign w:val="center"/>
            <w:hideMark/>
          </w:tcPr>
          <w:p w14:paraId="188177DD"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39E01082"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63E6200B"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212D7A" w:rsidRPr="00986F86" w14:paraId="02D12C90" w14:textId="77777777" w:rsidTr="000D66F5">
        <w:trPr>
          <w:trHeight w:val="325"/>
        </w:trPr>
        <w:tc>
          <w:tcPr>
            <w:tcW w:w="3080" w:type="dxa"/>
            <w:tcBorders>
              <w:top w:val="nil"/>
              <w:left w:val="nil"/>
              <w:bottom w:val="nil"/>
              <w:right w:val="nil"/>
            </w:tcBorders>
            <w:shd w:val="clear" w:color="000000" w:fill="F5F5F5"/>
            <w:noWrap/>
            <w:vAlign w:val="center"/>
            <w:hideMark/>
          </w:tcPr>
          <w:p w14:paraId="4F267D8C" w14:textId="77777777" w:rsidR="00212D7A" w:rsidRPr="00986F86" w:rsidRDefault="00212D7A" w:rsidP="000D66F5">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Associates</w:t>
            </w:r>
          </w:p>
        </w:tc>
        <w:tc>
          <w:tcPr>
            <w:tcW w:w="1200" w:type="dxa"/>
            <w:tcBorders>
              <w:top w:val="nil"/>
              <w:left w:val="nil"/>
              <w:bottom w:val="nil"/>
              <w:right w:val="nil"/>
            </w:tcBorders>
            <w:shd w:val="clear" w:color="000000" w:fill="F5F5F5"/>
            <w:noWrap/>
            <w:vAlign w:val="center"/>
            <w:hideMark/>
          </w:tcPr>
          <w:p w14:paraId="12AB3F5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14:paraId="4EAA0AD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14:paraId="6C6F3F02"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212D7A" w:rsidRPr="00986F86" w14:paraId="2BB51BBA" w14:textId="77777777" w:rsidTr="000D66F5">
        <w:trPr>
          <w:trHeight w:val="325"/>
        </w:trPr>
        <w:tc>
          <w:tcPr>
            <w:tcW w:w="3080" w:type="dxa"/>
            <w:tcBorders>
              <w:top w:val="nil"/>
              <w:left w:val="nil"/>
              <w:bottom w:val="nil"/>
              <w:right w:val="nil"/>
            </w:tcBorders>
            <w:shd w:val="clear" w:color="000000" w:fill="FFFFFF"/>
            <w:noWrap/>
            <w:vAlign w:val="center"/>
            <w:hideMark/>
          </w:tcPr>
          <w:p w14:paraId="2DA7351B" w14:textId="77777777" w:rsidR="00212D7A" w:rsidRPr="00986F86" w:rsidRDefault="00212D7A" w:rsidP="000D66F5">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Bachelors</w:t>
            </w:r>
          </w:p>
        </w:tc>
        <w:tc>
          <w:tcPr>
            <w:tcW w:w="1200" w:type="dxa"/>
            <w:tcBorders>
              <w:top w:val="nil"/>
              <w:left w:val="nil"/>
              <w:bottom w:val="nil"/>
              <w:right w:val="nil"/>
            </w:tcBorders>
            <w:shd w:val="clear" w:color="000000" w:fill="FFFFFF"/>
            <w:noWrap/>
            <w:vAlign w:val="center"/>
            <w:hideMark/>
          </w:tcPr>
          <w:p w14:paraId="02AD076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4301ECE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3BEA6F1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212D7A" w:rsidRPr="00986F86" w14:paraId="665E6CCC" w14:textId="77777777" w:rsidTr="000D66F5">
        <w:trPr>
          <w:trHeight w:val="325"/>
        </w:trPr>
        <w:tc>
          <w:tcPr>
            <w:tcW w:w="3080" w:type="dxa"/>
            <w:tcBorders>
              <w:top w:val="nil"/>
              <w:left w:val="nil"/>
              <w:bottom w:val="nil"/>
              <w:right w:val="nil"/>
            </w:tcBorders>
            <w:shd w:val="clear" w:color="000000" w:fill="F5F5F5"/>
            <w:noWrap/>
            <w:vAlign w:val="center"/>
            <w:hideMark/>
          </w:tcPr>
          <w:p w14:paraId="5DF57BE5" w14:textId="77777777" w:rsidR="00212D7A" w:rsidRPr="00986F86" w:rsidRDefault="00212D7A" w:rsidP="000D66F5">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Postbaccalaureate Certificate</w:t>
            </w:r>
          </w:p>
        </w:tc>
        <w:tc>
          <w:tcPr>
            <w:tcW w:w="1200" w:type="dxa"/>
            <w:tcBorders>
              <w:top w:val="nil"/>
              <w:left w:val="nil"/>
              <w:bottom w:val="nil"/>
              <w:right w:val="nil"/>
            </w:tcBorders>
            <w:shd w:val="clear" w:color="000000" w:fill="F5F5F5"/>
            <w:noWrap/>
            <w:vAlign w:val="center"/>
            <w:hideMark/>
          </w:tcPr>
          <w:p w14:paraId="2D9EEB6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14:paraId="44BA1893"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14:paraId="324D9BCA"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212D7A" w:rsidRPr="00986F86" w14:paraId="7FE0E48C" w14:textId="77777777" w:rsidTr="000D66F5">
        <w:trPr>
          <w:trHeight w:val="325"/>
        </w:trPr>
        <w:tc>
          <w:tcPr>
            <w:tcW w:w="3080" w:type="dxa"/>
            <w:tcBorders>
              <w:top w:val="nil"/>
              <w:left w:val="nil"/>
              <w:bottom w:val="nil"/>
              <w:right w:val="nil"/>
            </w:tcBorders>
            <w:shd w:val="clear" w:color="000000" w:fill="FFFFFF"/>
            <w:noWrap/>
            <w:vAlign w:val="center"/>
            <w:hideMark/>
          </w:tcPr>
          <w:p w14:paraId="4F80B4D6" w14:textId="77777777" w:rsidR="00212D7A" w:rsidRPr="00986F86" w:rsidRDefault="00212D7A" w:rsidP="000D66F5">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Masters</w:t>
            </w:r>
          </w:p>
        </w:tc>
        <w:tc>
          <w:tcPr>
            <w:tcW w:w="1200" w:type="dxa"/>
            <w:tcBorders>
              <w:top w:val="nil"/>
              <w:left w:val="nil"/>
              <w:bottom w:val="nil"/>
              <w:right w:val="nil"/>
            </w:tcBorders>
            <w:shd w:val="clear" w:color="000000" w:fill="FFFFFF"/>
            <w:noWrap/>
            <w:vAlign w:val="center"/>
            <w:hideMark/>
          </w:tcPr>
          <w:p w14:paraId="17A650B5"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6272F6DC"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6F753E38"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212D7A" w:rsidRPr="00986F86" w14:paraId="3C3A9190" w14:textId="77777777" w:rsidTr="000D66F5">
        <w:trPr>
          <w:trHeight w:val="325"/>
        </w:trPr>
        <w:tc>
          <w:tcPr>
            <w:tcW w:w="3080" w:type="dxa"/>
            <w:tcBorders>
              <w:top w:val="nil"/>
              <w:left w:val="nil"/>
              <w:bottom w:val="nil"/>
              <w:right w:val="nil"/>
            </w:tcBorders>
            <w:shd w:val="clear" w:color="000000" w:fill="F5F5F5"/>
            <w:noWrap/>
            <w:vAlign w:val="center"/>
            <w:hideMark/>
          </w:tcPr>
          <w:p w14:paraId="71ACD8F3" w14:textId="77777777" w:rsidR="00212D7A" w:rsidRPr="00986F86" w:rsidRDefault="00212D7A" w:rsidP="000D66F5">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Post-masters Certificate</w:t>
            </w:r>
          </w:p>
        </w:tc>
        <w:tc>
          <w:tcPr>
            <w:tcW w:w="1200" w:type="dxa"/>
            <w:tcBorders>
              <w:top w:val="nil"/>
              <w:left w:val="nil"/>
              <w:bottom w:val="nil"/>
              <w:right w:val="nil"/>
            </w:tcBorders>
            <w:shd w:val="clear" w:color="000000" w:fill="F5F5F5"/>
            <w:noWrap/>
            <w:vAlign w:val="center"/>
            <w:hideMark/>
          </w:tcPr>
          <w:p w14:paraId="0F0BD97E"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14:paraId="54A369F3"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14:paraId="1C246B71"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212D7A" w:rsidRPr="00986F86" w14:paraId="6CE2F0F6" w14:textId="77777777" w:rsidTr="000D66F5">
        <w:trPr>
          <w:trHeight w:val="325"/>
        </w:trPr>
        <w:tc>
          <w:tcPr>
            <w:tcW w:w="3080" w:type="dxa"/>
            <w:tcBorders>
              <w:top w:val="nil"/>
              <w:left w:val="nil"/>
              <w:bottom w:val="nil"/>
              <w:right w:val="nil"/>
            </w:tcBorders>
            <w:shd w:val="clear" w:color="000000" w:fill="FFFFFF"/>
            <w:noWrap/>
            <w:vAlign w:val="center"/>
            <w:hideMark/>
          </w:tcPr>
          <w:p w14:paraId="2DEF0E0A" w14:textId="77777777" w:rsidR="00212D7A" w:rsidRPr="00986F86" w:rsidRDefault="00212D7A" w:rsidP="000D66F5">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Doctoral</w:t>
            </w:r>
          </w:p>
        </w:tc>
        <w:tc>
          <w:tcPr>
            <w:tcW w:w="1200" w:type="dxa"/>
            <w:tcBorders>
              <w:top w:val="nil"/>
              <w:left w:val="nil"/>
              <w:bottom w:val="nil"/>
              <w:right w:val="nil"/>
            </w:tcBorders>
            <w:shd w:val="clear" w:color="000000" w:fill="FFFFFF"/>
            <w:noWrap/>
            <w:vAlign w:val="center"/>
            <w:hideMark/>
          </w:tcPr>
          <w:p w14:paraId="46FA6F79"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109346A2"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7D0967E0" w14:textId="77777777" w:rsidR="00212D7A" w:rsidRPr="00986F86" w:rsidRDefault="00212D7A" w:rsidP="000D66F5">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bl>
    <w:p w14:paraId="5942FF7B" w14:textId="77777777" w:rsidR="00212D7A" w:rsidRDefault="00212D7A" w:rsidP="00212D7A">
      <w:pPr>
        <w:ind w:left="2880"/>
        <w:rPr>
          <w:rFonts w:cstheme="minorHAnsi"/>
          <w:color w:val="000000" w:themeColor="text1"/>
        </w:rPr>
      </w:pPr>
    </w:p>
    <w:p w14:paraId="2214D774" w14:textId="3C6AA4DF" w:rsidR="004B2DDE" w:rsidRDefault="004B2DDE">
      <w:pPr>
        <w:rPr>
          <w:rFonts w:asciiTheme="minorHAnsi" w:hAnsiTheme="minorHAnsi" w:cstheme="minorHAnsi"/>
          <w:color w:val="000000" w:themeColor="text1"/>
          <w:sz w:val="22"/>
          <w:szCs w:val="22"/>
        </w:rPr>
      </w:pPr>
      <w:r w:rsidRPr="00CA0FB3">
        <w:rPr>
          <w:rFonts w:cstheme="minorHAnsi"/>
          <w:b/>
          <w:color w:val="000000" w:themeColor="text1"/>
        </w:rPr>
        <w:t>Rationale for inclusion:</w:t>
      </w:r>
      <w:r>
        <w:rPr>
          <w:rFonts w:cstheme="minorHAnsi"/>
          <w:b/>
          <w:color w:val="000000" w:themeColor="text1"/>
        </w:rPr>
        <w:t xml:space="preserve"> </w:t>
      </w:r>
      <w:r w:rsidRPr="004B2DDE">
        <w:rPr>
          <w:rFonts w:cstheme="minorHAnsi"/>
          <w:color w:val="000000" w:themeColor="text1"/>
        </w:rPr>
        <w:t>Roll-up of data identifying appropriateness of matriculation level of offering.</w:t>
      </w:r>
      <w:r>
        <w:rPr>
          <w:rFonts w:cstheme="minorHAnsi"/>
          <w:b/>
          <w:color w:val="000000" w:themeColor="text1"/>
        </w:rPr>
        <w:t xml:space="preserve"> </w:t>
      </w:r>
      <w:r>
        <w:rPr>
          <w:rFonts w:asciiTheme="minorHAnsi" w:hAnsiTheme="minorHAnsi" w:cstheme="minorHAnsi"/>
          <w:color w:val="000000" w:themeColor="text1"/>
          <w:sz w:val="22"/>
          <w:szCs w:val="22"/>
        </w:rPr>
        <w:br w:type="page"/>
      </w:r>
    </w:p>
    <w:p w14:paraId="7A500419" w14:textId="41EC520F" w:rsidR="00212D7A" w:rsidRPr="00475D08" w:rsidRDefault="00212D7A" w:rsidP="00212D7A">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(Optional</w:t>
      </w:r>
      <w:r w:rsidRPr="00475D08">
        <w:rPr>
          <w:rFonts w:asciiTheme="minorHAnsi" w:hAnsiTheme="minorHAnsi" w:cstheme="minorHAnsi"/>
          <w:color w:val="000000" w:themeColor="text1"/>
          <w:sz w:val="22"/>
          <w:szCs w:val="22"/>
          <w:vertAlign w:val="superscript"/>
        </w:rPr>
        <w:t>*</w:t>
      </w:r>
      <w:r>
        <w:rPr>
          <w:rFonts w:asciiTheme="minorHAnsi" w:hAnsiTheme="minorHAnsi" w:cstheme="minorHAnsi"/>
          <w:color w:val="000000" w:themeColor="text1"/>
          <w:sz w:val="22"/>
          <w:szCs w:val="22"/>
        </w:rPr>
        <w:t xml:space="preserve">) </w:t>
      </w:r>
      <w:r w:rsidRPr="00475D08">
        <w:rPr>
          <w:rFonts w:asciiTheme="minorHAnsi" w:hAnsiTheme="minorHAnsi" w:cstheme="minorHAnsi"/>
          <w:color w:val="000000" w:themeColor="text1"/>
          <w:sz w:val="22"/>
          <w:szCs w:val="22"/>
        </w:rPr>
        <w:t xml:space="preserve">Occupations Table from Gray Workplace Requirements. </w:t>
      </w:r>
    </w:p>
    <w:tbl>
      <w:tblPr>
        <w:tblW w:w="73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26"/>
        <w:gridCol w:w="3756"/>
      </w:tblGrid>
      <w:tr w:rsidR="00212D7A" w:rsidRPr="00986F86" w14:paraId="4AFC0777" w14:textId="77777777" w:rsidTr="000D66F5">
        <w:trPr>
          <w:trHeight w:val="24"/>
        </w:trPr>
        <w:tc>
          <w:tcPr>
            <w:tcW w:w="0" w:type="auto"/>
            <w:shd w:val="clear" w:color="000000" w:fill="F5F5F5"/>
            <w:noWrap/>
            <w:vAlign w:val="center"/>
            <w:hideMark/>
          </w:tcPr>
          <w:p w14:paraId="6ABA1AEE" w14:textId="77777777" w:rsidR="00212D7A" w:rsidRPr="00986F86" w:rsidRDefault="00212D7A" w:rsidP="000D66F5">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Skills Engine Score</w:t>
            </w:r>
          </w:p>
        </w:tc>
        <w:tc>
          <w:tcPr>
            <w:tcW w:w="0" w:type="auto"/>
            <w:shd w:val="clear" w:color="000000" w:fill="F5F5F5"/>
            <w:noWrap/>
            <w:vAlign w:val="center"/>
            <w:hideMark/>
          </w:tcPr>
          <w:p w14:paraId="00A81360" w14:textId="77777777" w:rsidR="00212D7A" w:rsidRPr="00986F86" w:rsidRDefault="00212D7A" w:rsidP="000D66F5">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Skills Engine Result</w:t>
            </w:r>
          </w:p>
        </w:tc>
      </w:tr>
      <w:tr w:rsidR="00212D7A" w:rsidRPr="00986F86" w14:paraId="732B95F1" w14:textId="77777777" w:rsidTr="000D66F5">
        <w:trPr>
          <w:trHeight w:val="24"/>
        </w:trPr>
        <w:tc>
          <w:tcPr>
            <w:tcW w:w="0" w:type="auto"/>
            <w:shd w:val="clear" w:color="000000" w:fill="FFFFFF"/>
            <w:noWrap/>
            <w:vAlign w:val="center"/>
          </w:tcPr>
          <w:p w14:paraId="41B745E9"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2F01CD3E" w14:textId="77777777" w:rsidR="00212D7A" w:rsidRPr="00986F86" w:rsidRDefault="00212D7A" w:rsidP="000D66F5">
            <w:pPr>
              <w:rPr>
                <w:rFonts w:asciiTheme="minorHAnsi" w:hAnsiTheme="minorHAnsi" w:cstheme="minorHAnsi"/>
                <w:color w:val="000000" w:themeColor="text1"/>
                <w:sz w:val="22"/>
                <w:szCs w:val="22"/>
              </w:rPr>
            </w:pPr>
          </w:p>
        </w:tc>
      </w:tr>
      <w:tr w:rsidR="00212D7A" w:rsidRPr="00986F86" w14:paraId="721ED236" w14:textId="77777777" w:rsidTr="000D66F5">
        <w:trPr>
          <w:trHeight w:val="24"/>
        </w:trPr>
        <w:tc>
          <w:tcPr>
            <w:tcW w:w="0" w:type="auto"/>
            <w:shd w:val="clear" w:color="000000" w:fill="FFFFFF"/>
            <w:noWrap/>
            <w:vAlign w:val="center"/>
          </w:tcPr>
          <w:p w14:paraId="6A243742"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0A68D0CC" w14:textId="77777777" w:rsidR="00212D7A" w:rsidRPr="00986F86" w:rsidRDefault="00212D7A" w:rsidP="000D66F5">
            <w:pPr>
              <w:rPr>
                <w:rFonts w:asciiTheme="minorHAnsi" w:hAnsiTheme="minorHAnsi" w:cstheme="minorHAnsi"/>
                <w:color w:val="000000" w:themeColor="text1"/>
                <w:sz w:val="22"/>
                <w:szCs w:val="22"/>
              </w:rPr>
            </w:pPr>
          </w:p>
        </w:tc>
      </w:tr>
      <w:tr w:rsidR="00212D7A" w:rsidRPr="00986F86" w14:paraId="25DF5E47" w14:textId="77777777" w:rsidTr="000D66F5">
        <w:trPr>
          <w:trHeight w:val="24"/>
        </w:trPr>
        <w:tc>
          <w:tcPr>
            <w:tcW w:w="0" w:type="auto"/>
            <w:shd w:val="clear" w:color="000000" w:fill="FFFFFF"/>
            <w:noWrap/>
            <w:vAlign w:val="center"/>
          </w:tcPr>
          <w:p w14:paraId="237352FC"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1A4360A5" w14:textId="77777777" w:rsidR="00212D7A" w:rsidRPr="00986F86" w:rsidRDefault="00212D7A" w:rsidP="000D66F5">
            <w:pPr>
              <w:rPr>
                <w:rFonts w:asciiTheme="minorHAnsi" w:hAnsiTheme="minorHAnsi" w:cstheme="minorHAnsi"/>
                <w:color w:val="000000" w:themeColor="text1"/>
                <w:sz w:val="22"/>
                <w:szCs w:val="22"/>
              </w:rPr>
            </w:pPr>
          </w:p>
        </w:tc>
      </w:tr>
      <w:tr w:rsidR="00212D7A" w:rsidRPr="00986F86" w14:paraId="4148D450" w14:textId="77777777" w:rsidTr="000D66F5">
        <w:trPr>
          <w:trHeight w:val="24"/>
        </w:trPr>
        <w:tc>
          <w:tcPr>
            <w:tcW w:w="0" w:type="auto"/>
            <w:shd w:val="clear" w:color="000000" w:fill="FFFFFF"/>
            <w:noWrap/>
            <w:vAlign w:val="center"/>
          </w:tcPr>
          <w:p w14:paraId="05309673"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34086649" w14:textId="77777777" w:rsidR="00212D7A" w:rsidRPr="00986F86" w:rsidRDefault="00212D7A" w:rsidP="000D66F5">
            <w:pPr>
              <w:rPr>
                <w:rFonts w:asciiTheme="minorHAnsi" w:hAnsiTheme="minorHAnsi" w:cstheme="minorHAnsi"/>
                <w:color w:val="000000" w:themeColor="text1"/>
                <w:sz w:val="22"/>
                <w:szCs w:val="22"/>
              </w:rPr>
            </w:pPr>
          </w:p>
        </w:tc>
      </w:tr>
      <w:tr w:rsidR="00212D7A" w:rsidRPr="00986F86" w14:paraId="775C6A72" w14:textId="77777777" w:rsidTr="000D66F5">
        <w:trPr>
          <w:trHeight w:val="24"/>
        </w:trPr>
        <w:tc>
          <w:tcPr>
            <w:tcW w:w="0" w:type="auto"/>
            <w:shd w:val="clear" w:color="000000" w:fill="FFFFFF"/>
            <w:noWrap/>
            <w:vAlign w:val="center"/>
          </w:tcPr>
          <w:p w14:paraId="2205DA14"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558C0303" w14:textId="77777777" w:rsidR="00212D7A" w:rsidRPr="00986F86" w:rsidRDefault="00212D7A" w:rsidP="000D66F5">
            <w:pPr>
              <w:rPr>
                <w:rFonts w:asciiTheme="minorHAnsi" w:hAnsiTheme="minorHAnsi" w:cstheme="minorHAnsi"/>
                <w:color w:val="000000" w:themeColor="text1"/>
                <w:sz w:val="22"/>
                <w:szCs w:val="22"/>
              </w:rPr>
            </w:pPr>
          </w:p>
        </w:tc>
      </w:tr>
      <w:tr w:rsidR="00212D7A" w:rsidRPr="00986F86" w14:paraId="7D2940C2" w14:textId="77777777" w:rsidTr="000D66F5">
        <w:trPr>
          <w:trHeight w:val="24"/>
        </w:trPr>
        <w:tc>
          <w:tcPr>
            <w:tcW w:w="0" w:type="auto"/>
            <w:shd w:val="clear" w:color="000000" w:fill="FFFFFF"/>
            <w:noWrap/>
            <w:vAlign w:val="center"/>
          </w:tcPr>
          <w:p w14:paraId="2F6C87E2"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71A5B54D" w14:textId="77777777" w:rsidR="00212D7A" w:rsidRPr="00986F86" w:rsidRDefault="00212D7A" w:rsidP="000D66F5">
            <w:pPr>
              <w:rPr>
                <w:rFonts w:asciiTheme="minorHAnsi" w:hAnsiTheme="minorHAnsi" w:cstheme="minorHAnsi"/>
                <w:color w:val="000000" w:themeColor="text1"/>
                <w:sz w:val="22"/>
                <w:szCs w:val="22"/>
              </w:rPr>
            </w:pPr>
          </w:p>
        </w:tc>
      </w:tr>
      <w:tr w:rsidR="00212D7A" w:rsidRPr="00986F86" w14:paraId="52612F2A" w14:textId="77777777" w:rsidTr="000D66F5">
        <w:trPr>
          <w:trHeight w:val="24"/>
        </w:trPr>
        <w:tc>
          <w:tcPr>
            <w:tcW w:w="0" w:type="auto"/>
            <w:shd w:val="clear" w:color="000000" w:fill="FFFFFF"/>
            <w:noWrap/>
            <w:vAlign w:val="center"/>
          </w:tcPr>
          <w:p w14:paraId="32A640FF"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2F184D7B" w14:textId="77777777" w:rsidR="00212D7A" w:rsidRPr="00986F86" w:rsidRDefault="00212D7A" w:rsidP="000D66F5">
            <w:pPr>
              <w:rPr>
                <w:rFonts w:asciiTheme="minorHAnsi" w:hAnsiTheme="minorHAnsi" w:cstheme="minorHAnsi"/>
                <w:color w:val="000000" w:themeColor="text1"/>
                <w:sz w:val="22"/>
                <w:szCs w:val="22"/>
              </w:rPr>
            </w:pPr>
          </w:p>
        </w:tc>
      </w:tr>
      <w:tr w:rsidR="00212D7A" w:rsidRPr="00986F86" w14:paraId="0EAD718B" w14:textId="77777777" w:rsidTr="000D66F5">
        <w:trPr>
          <w:trHeight w:val="24"/>
        </w:trPr>
        <w:tc>
          <w:tcPr>
            <w:tcW w:w="0" w:type="auto"/>
            <w:shd w:val="clear" w:color="000000" w:fill="FFFFFF"/>
            <w:noWrap/>
            <w:vAlign w:val="center"/>
          </w:tcPr>
          <w:p w14:paraId="755B4309" w14:textId="77777777" w:rsidR="00212D7A" w:rsidRPr="00986F86" w:rsidRDefault="00212D7A" w:rsidP="000D66F5">
            <w:pPr>
              <w:rPr>
                <w:rFonts w:asciiTheme="minorHAnsi" w:hAnsiTheme="minorHAnsi" w:cstheme="minorHAnsi"/>
                <w:color w:val="000000" w:themeColor="text1"/>
                <w:sz w:val="22"/>
                <w:szCs w:val="22"/>
              </w:rPr>
            </w:pPr>
          </w:p>
        </w:tc>
        <w:tc>
          <w:tcPr>
            <w:tcW w:w="0" w:type="auto"/>
            <w:shd w:val="clear" w:color="000000" w:fill="FFFFFF"/>
            <w:noWrap/>
            <w:vAlign w:val="center"/>
          </w:tcPr>
          <w:p w14:paraId="492795DF" w14:textId="77777777" w:rsidR="00212D7A" w:rsidRPr="00986F86" w:rsidRDefault="00212D7A" w:rsidP="000D66F5">
            <w:pPr>
              <w:rPr>
                <w:rFonts w:asciiTheme="minorHAnsi" w:hAnsiTheme="minorHAnsi" w:cstheme="minorHAnsi"/>
                <w:color w:val="000000" w:themeColor="text1"/>
                <w:sz w:val="22"/>
                <w:szCs w:val="22"/>
              </w:rPr>
            </w:pPr>
          </w:p>
        </w:tc>
      </w:tr>
    </w:tbl>
    <w:p w14:paraId="2EE999B2" w14:textId="77777777" w:rsidR="00212D7A" w:rsidRPr="00986F86" w:rsidRDefault="00212D7A" w:rsidP="00212D7A">
      <w:pPr>
        <w:rPr>
          <w:rFonts w:asciiTheme="minorHAnsi" w:hAnsiTheme="minorHAnsi" w:cstheme="minorHAnsi"/>
          <w:i/>
          <w:color w:val="000000" w:themeColor="text1"/>
          <w:sz w:val="22"/>
          <w:szCs w:val="22"/>
        </w:rPr>
      </w:pPr>
      <w:r w:rsidRPr="00986F86">
        <w:rPr>
          <w:rFonts w:asciiTheme="minorHAnsi" w:hAnsiTheme="minorHAnsi" w:cstheme="minorHAnsi"/>
          <w:i/>
          <w:color w:val="000000" w:themeColor="text1"/>
          <w:sz w:val="22"/>
          <w:szCs w:val="22"/>
          <w:vertAlign w:val="superscript"/>
        </w:rPr>
        <w:t>*</w:t>
      </w:r>
      <w:r w:rsidRPr="00986F86">
        <w:rPr>
          <w:rFonts w:asciiTheme="minorHAnsi" w:hAnsiTheme="minorHAnsi" w:cstheme="minorHAnsi"/>
          <w:i/>
          <w:color w:val="000000" w:themeColor="text1"/>
          <w:sz w:val="22"/>
          <w:szCs w:val="22"/>
        </w:rPr>
        <w:t xml:space="preserve">Utility of Skills Engine Tables varies greatly by CIP code.  </w:t>
      </w:r>
    </w:p>
    <w:p w14:paraId="52B9FDFB" w14:textId="77777777" w:rsidR="00212D7A" w:rsidRPr="00986F86" w:rsidRDefault="00212D7A" w:rsidP="00212D7A">
      <w:pPr>
        <w:rPr>
          <w:rFonts w:asciiTheme="minorHAnsi" w:hAnsiTheme="minorHAnsi" w:cstheme="minorHAnsi"/>
          <w:i/>
          <w:color w:val="000000" w:themeColor="text1"/>
          <w:sz w:val="22"/>
          <w:szCs w:val="22"/>
        </w:rPr>
      </w:pPr>
    </w:p>
    <w:p w14:paraId="4451687D" w14:textId="6BD84094" w:rsidR="00212D7A" w:rsidRPr="00986F86" w:rsidRDefault="004B2DDE" w:rsidP="00212D7A">
      <w:pPr>
        <w:pStyle w:val="BodyText"/>
      </w:pPr>
      <w:r w:rsidRPr="00CA0FB3">
        <w:rPr>
          <w:b/>
        </w:rPr>
        <w:t>Rationale for inclusion:</w:t>
      </w:r>
      <w:r>
        <w:rPr>
          <w:b/>
        </w:rPr>
        <w:t xml:space="preserve"> </w:t>
      </w:r>
      <w:r w:rsidRPr="004B2DDE">
        <w:t>Occupational skills needed should</w:t>
      </w:r>
      <w:r>
        <w:rPr>
          <w:b/>
        </w:rPr>
        <w:t xml:space="preserve"> </w:t>
      </w:r>
      <w:r w:rsidRPr="004B2DDE">
        <w:t>inform</w:t>
      </w:r>
      <w:r>
        <w:t xml:space="preserve"> curriculum and learning outcomes. Impact of data from Workplace Requirements is stronger for direct employability CIP than for generalist areas.   </w:t>
      </w:r>
    </w:p>
    <w:p w14:paraId="0222693E" w14:textId="77777777" w:rsidR="007951D9" w:rsidRDefault="000E3B12">
      <w:bookmarkStart w:id="0" w:name="_GoBack"/>
      <w:bookmarkEnd w:id="0"/>
    </w:p>
    <w:sectPr w:rsidR="007951D9" w:rsidSect="00CE0FAB">
      <w:pgSz w:w="12240" w:h="15840"/>
      <w:pgMar w:top="1008" w:right="43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SS10">
    <w:altName w:val="Cambria"/>
    <w:panose1 w:val="00000000000000000000"/>
    <w:charset w:val="00"/>
    <w:family w:val="roman"/>
    <w:notTrueType/>
    <w:pitch w:val="default"/>
  </w:font>
  <w:font w:name="CMSSBX10">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7359D"/>
    <w:multiLevelType w:val="hybridMultilevel"/>
    <w:tmpl w:val="09DC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E3B12"/>
    <w:rsid w:val="00212D7A"/>
    <w:rsid w:val="00280AEE"/>
    <w:rsid w:val="004356E3"/>
    <w:rsid w:val="00437528"/>
    <w:rsid w:val="004B2DDE"/>
    <w:rsid w:val="006036BF"/>
    <w:rsid w:val="006A6E73"/>
    <w:rsid w:val="006D0BF2"/>
    <w:rsid w:val="007D7020"/>
    <w:rsid w:val="008054C4"/>
    <w:rsid w:val="008C0037"/>
    <w:rsid w:val="00A46D1E"/>
    <w:rsid w:val="00A7559C"/>
    <w:rsid w:val="00AA3326"/>
    <w:rsid w:val="00B72030"/>
    <w:rsid w:val="00C17311"/>
    <w:rsid w:val="00CA0FB3"/>
    <w:rsid w:val="00CD69FC"/>
    <w:rsid w:val="00CE0218"/>
    <w:rsid w:val="00CE0FAB"/>
    <w:rsid w:val="00D92845"/>
    <w:rsid w:val="00DE681C"/>
    <w:rsid w:val="00FC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32A2"/>
  <w15:chartTrackingRefBased/>
  <w15:docId w15:val="{408390E3-81A0-5342-8B71-3E03C95C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7A"/>
    <w:rPr>
      <w:rFonts w:ascii="Times New Roman" w:eastAsia="Times New Roman" w:hAnsi="Times New Roman" w:cs="Times New Roman"/>
    </w:rPr>
  </w:style>
  <w:style w:type="paragraph" w:styleId="Heading1">
    <w:name w:val="heading 1"/>
    <w:basedOn w:val="Normal"/>
    <w:next w:val="Normal"/>
    <w:link w:val="Heading1Char"/>
    <w:uiPriority w:val="9"/>
    <w:qFormat/>
    <w:rsid w:val="00212D7A"/>
    <w:pPr>
      <w:keepNext/>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7A"/>
    <w:rPr>
      <w:rFonts w:eastAsia="Times New Roman" w:cstheme="minorHAnsi"/>
      <w:b/>
    </w:rPr>
  </w:style>
  <w:style w:type="paragraph" w:styleId="ListParagraph">
    <w:name w:val="List Paragraph"/>
    <w:basedOn w:val="Normal"/>
    <w:uiPriority w:val="34"/>
    <w:qFormat/>
    <w:rsid w:val="00212D7A"/>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212D7A"/>
    <w:rPr>
      <w:rFonts w:asciiTheme="minorHAnsi" w:hAnsiTheme="minorHAnsi" w:cstheme="minorHAnsi"/>
      <w:color w:val="000000" w:themeColor="text1"/>
      <w:sz w:val="22"/>
      <w:szCs w:val="22"/>
    </w:rPr>
  </w:style>
  <w:style w:type="character" w:customStyle="1" w:styleId="BodyTextChar">
    <w:name w:val="Body Text Char"/>
    <w:basedOn w:val="DefaultParagraphFont"/>
    <w:link w:val="BodyText"/>
    <w:uiPriority w:val="99"/>
    <w:rsid w:val="00212D7A"/>
    <w:rPr>
      <w:rFonts w:eastAsia="Times New Roman" w:cstheme="minorHAnsi"/>
      <w:color w:val="000000" w:themeColor="text1"/>
      <w:sz w:val="22"/>
      <w:szCs w:val="22"/>
    </w:rPr>
  </w:style>
  <w:style w:type="paragraph" w:styleId="NormalWeb">
    <w:name w:val="Normal (Web)"/>
    <w:basedOn w:val="Normal"/>
    <w:uiPriority w:val="99"/>
    <w:semiHidden/>
    <w:unhideWhenUsed/>
    <w:rsid w:val="004B2D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77294">
      <w:bodyDiv w:val="1"/>
      <w:marLeft w:val="0"/>
      <w:marRight w:val="0"/>
      <w:marTop w:val="0"/>
      <w:marBottom w:val="0"/>
      <w:divBdr>
        <w:top w:val="none" w:sz="0" w:space="0" w:color="auto"/>
        <w:left w:val="none" w:sz="0" w:space="0" w:color="auto"/>
        <w:bottom w:val="none" w:sz="0" w:space="0" w:color="auto"/>
        <w:right w:val="none" w:sz="0" w:space="0" w:color="auto"/>
      </w:divBdr>
      <w:divsChild>
        <w:div w:id="1635941936">
          <w:marLeft w:val="0"/>
          <w:marRight w:val="0"/>
          <w:marTop w:val="0"/>
          <w:marBottom w:val="0"/>
          <w:divBdr>
            <w:top w:val="none" w:sz="0" w:space="0" w:color="auto"/>
            <w:left w:val="none" w:sz="0" w:space="0" w:color="auto"/>
            <w:bottom w:val="none" w:sz="0" w:space="0" w:color="auto"/>
            <w:right w:val="none" w:sz="0" w:space="0" w:color="auto"/>
          </w:divBdr>
          <w:divsChild>
            <w:div w:id="1936088687">
              <w:marLeft w:val="0"/>
              <w:marRight w:val="0"/>
              <w:marTop w:val="0"/>
              <w:marBottom w:val="0"/>
              <w:divBdr>
                <w:top w:val="none" w:sz="0" w:space="0" w:color="auto"/>
                <w:left w:val="none" w:sz="0" w:space="0" w:color="auto"/>
                <w:bottom w:val="none" w:sz="0" w:space="0" w:color="auto"/>
                <w:right w:val="none" w:sz="0" w:space="0" w:color="auto"/>
              </w:divBdr>
              <w:divsChild>
                <w:div w:id="360280121">
                  <w:marLeft w:val="0"/>
                  <w:marRight w:val="0"/>
                  <w:marTop w:val="0"/>
                  <w:marBottom w:val="0"/>
                  <w:divBdr>
                    <w:top w:val="none" w:sz="0" w:space="0" w:color="auto"/>
                    <w:left w:val="none" w:sz="0" w:space="0" w:color="auto"/>
                    <w:bottom w:val="none" w:sz="0" w:space="0" w:color="auto"/>
                    <w:right w:val="none" w:sz="0" w:space="0" w:color="auto"/>
                  </w:divBdr>
                  <w:divsChild>
                    <w:div w:id="8967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0325">
      <w:bodyDiv w:val="1"/>
      <w:marLeft w:val="0"/>
      <w:marRight w:val="0"/>
      <w:marTop w:val="0"/>
      <w:marBottom w:val="0"/>
      <w:divBdr>
        <w:top w:val="none" w:sz="0" w:space="0" w:color="auto"/>
        <w:left w:val="none" w:sz="0" w:space="0" w:color="auto"/>
        <w:bottom w:val="none" w:sz="0" w:space="0" w:color="auto"/>
        <w:right w:val="none" w:sz="0" w:space="0" w:color="auto"/>
      </w:divBdr>
      <w:divsChild>
        <w:div w:id="1757676906">
          <w:marLeft w:val="0"/>
          <w:marRight w:val="0"/>
          <w:marTop w:val="0"/>
          <w:marBottom w:val="0"/>
          <w:divBdr>
            <w:top w:val="none" w:sz="0" w:space="0" w:color="auto"/>
            <w:left w:val="none" w:sz="0" w:space="0" w:color="auto"/>
            <w:bottom w:val="none" w:sz="0" w:space="0" w:color="auto"/>
            <w:right w:val="none" w:sz="0" w:space="0" w:color="auto"/>
          </w:divBdr>
          <w:divsChild>
            <w:div w:id="714740890">
              <w:marLeft w:val="0"/>
              <w:marRight w:val="0"/>
              <w:marTop w:val="0"/>
              <w:marBottom w:val="0"/>
              <w:divBdr>
                <w:top w:val="none" w:sz="0" w:space="0" w:color="auto"/>
                <w:left w:val="none" w:sz="0" w:space="0" w:color="auto"/>
                <w:bottom w:val="none" w:sz="0" w:space="0" w:color="auto"/>
                <w:right w:val="none" w:sz="0" w:space="0" w:color="auto"/>
              </w:divBdr>
              <w:divsChild>
                <w:div w:id="2088770376">
                  <w:marLeft w:val="0"/>
                  <w:marRight w:val="0"/>
                  <w:marTop w:val="0"/>
                  <w:marBottom w:val="0"/>
                  <w:divBdr>
                    <w:top w:val="none" w:sz="0" w:space="0" w:color="auto"/>
                    <w:left w:val="none" w:sz="0" w:space="0" w:color="auto"/>
                    <w:bottom w:val="none" w:sz="0" w:space="0" w:color="auto"/>
                    <w:right w:val="none" w:sz="0" w:space="0" w:color="auto"/>
                  </w:divBdr>
                  <w:divsChild>
                    <w:div w:id="2008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1024">
      <w:bodyDiv w:val="1"/>
      <w:marLeft w:val="0"/>
      <w:marRight w:val="0"/>
      <w:marTop w:val="0"/>
      <w:marBottom w:val="0"/>
      <w:divBdr>
        <w:top w:val="none" w:sz="0" w:space="0" w:color="auto"/>
        <w:left w:val="none" w:sz="0" w:space="0" w:color="auto"/>
        <w:bottom w:val="none" w:sz="0" w:space="0" w:color="auto"/>
        <w:right w:val="none" w:sz="0" w:space="0" w:color="auto"/>
      </w:divBdr>
    </w:div>
    <w:div w:id="1152329362">
      <w:bodyDiv w:val="1"/>
      <w:marLeft w:val="0"/>
      <w:marRight w:val="0"/>
      <w:marTop w:val="0"/>
      <w:marBottom w:val="0"/>
      <w:divBdr>
        <w:top w:val="none" w:sz="0" w:space="0" w:color="auto"/>
        <w:left w:val="none" w:sz="0" w:space="0" w:color="auto"/>
        <w:bottom w:val="none" w:sz="0" w:space="0" w:color="auto"/>
        <w:right w:val="none" w:sz="0" w:space="0" w:color="auto"/>
      </w:divBdr>
      <w:divsChild>
        <w:div w:id="1574972804">
          <w:marLeft w:val="0"/>
          <w:marRight w:val="0"/>
          <w:marTop w:val="0"/>
          <w:marBottom w:val="0"/>
          <w:divBdr>
            <w:top w:val="none" w:sz="0" w:space="0" w:color="auto"/>
            <w:left w:val="none" w:sz="0" w:space="0" w:color="auto"/>
            <w:bottom w:val="none" w:sz="0" w:space="0" w:color="auto"/>
            <w:right w:val="none" w:sz="0" w:space="0" w:color="auto"/>
          </w:divBdr>
          <w:divsChild>
            <w:div w:id="1758286569">
              <w:marLeft w:val="0"/>
              <w:marRight w:val="0"/>
              <w:marTop w:val="0"/>
              <w:marBottom w:val="0"/>
              <w:divBdr>
                <w:top w:val="none" w:sz="0" w:space="0" w:color="auto"/>
                <w:left w:val="none" w:sz="0" w:space="0" w:color="auto"/>
                <w:bottom w:val="none" w:sz="0" w:space="0" w:color="auto"/>
                <w:right w:val="none" w:sz="0" w:space="0" w:color="auto"/>
              </w:divBdr>
              <w:divsChild>
                <w:div w:id="1786853356">
                  <w:marLeft w:val="0"/>
                  <w:marRight w:val="0"/>
                  <w:marTop w:val="0"/>
                  <w:marBottom w:val="0"/>
                  <w:divBdr>
                    <w:top w:val="none" w:sz="0" w:space="0" w:color="auto"/>
                    <w:left w:val="none" w:sz="0" w:space="0" w:color="auto"/>
                    <w:bottom w:val="none" w:sz="0" w:space="0" w:color="auto"/>
                    <w:right w:val="none" w:sz="0" w:space="0" w:color="auto"/>
                  </w:divBdr>
                  <w:divsChild>
                    <w:div w:id="9081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1133">
      <w:bodyDiv w:val="1"/>
      <w:marLeft w:val="0"/>
      <w:marRight w:val="0"/>
      <w:marTop w:val="0"/>
      <w:marBottom w:val="0"/>
      <w:divBdr>
        <w:top w:val="none" w:sz="0" w:space="0" w:color="auto"/>
        <w:left w:val="none" w:sz="0" w:space="0" w:color="auto"/>
        <w:bottom w:val="none" w:sz="0" w:space="0" w:color="auto"/>
        <w:right w:val="none" w:sz="0" w:space="0" w:color="auto"/>
      </w:divBdr>
      <w:divsChild>
        <w:div w:id="1398361205">
          <w:marLeft w:val="0"/>
          <w:marRight w:val="0"/>
          <w:marTop w:val="0"/>
          <w:marBottom w:val="0"/>
          <w:divBdr>
            <w:top w:val="none" w:sz="0" w:space="0" w:color="auto"/>
            <w:left w:val="none" w:sz="0" w:space="0" w:color="auto"/>
            <w:bottom w:val="none" w:sz="0" w:space="0" w:color="auto"/>
            <w:right w:val="none" w:sz="0" w:space="0" w:color="auto"/>
          </w:divBdr>
          <w:divsChild>
            <w:div w:id="610672054">
              <w:marLeft w:val="0"/>
              <w:marRight w:val="0"/>
              <w:marTop w:val="0"/>
              <w:marBottom w:val="0"/>
              <w:divBdr>
                <w:top w:val="none" w:sz="0" w:space="0" w:color="auto"/>
                <w:left w:val="none" w:sz="0" w:space="0" w:color="auto"/>
                <w:bottom w:val="none" w:sz="0" w:space="0" w:color="auto"/>
                <w:right w:val="none" w:sz="0" w:space="0" w:color="auto"/>
              </w:divBdr>
              <w:divsChild>
                <w:div w:id="653870609">
                  <w:marLeft w:val="0"/>
                  <w:marRight w:val="0"/>
                  <w:marTop w:val="0"/>
                  <w:marBottom w:val="0"/>
                  <w:divBdr>
                    <w:top w:val="none" w:sz="0" w:space="0" w:color="auto"/>
                    <w:left w:val="none" w:sz="0" w:space="0" w:color="auto"/>
                    <w:bottom w:val="none" w:sz="0" w:space="0" w:color="auto"/>
                    <w:right w:val="none" w:sz="0" w:space="0" w:color="auto"/>
                  </w:divBdr>
                  <w:divsChild>
                    <w:div w:id="19867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442">
      <w:bodyDiv w:val="1"/>
      <w:marLeft w:val="0"/>
      <w:marRight w:val="0"/>
      <w:marTop w:val="0"/>
      <w:marBottom w:val="0"/>
      <w:divBdr>
        <w:top w:val="none" w:sz="0" w:space="0" w:color="auto"/>
        <w:left w:val="none" w:sz="0" w:space="0" w:color="auto"/>
        <w:bottom w:val="none" w:sz="0" w:space="0" w:color="auto"/>
        <w:right w:val="none" w:sz="0" w:space="0" w:color="auto"/>
      </w:divBdr>
      <w:divsChild>
        <w:div w:id="1921479643">
          <w:marLeft w:val="0"/>
          <w:marRight w:val="0"/>
          <w:marTop w:val="0"/>
          <w:marBottom w:val="0"/>
          <w:divBdr>
            <w:top w:val="none" w:sz="0" w:space="0" w:color="auto"/>
            <w:left w:val="none" w:sz="0" w:space="0" w:color="auto"/>
            <w:bottom w:val="none" w:sz="0" w:space="0" w:color="auto"/>
            <w:right w:val="none" w:sz="0" w:space="0" w:color="auto"/>
          </w:divBdr>
          <w:divsChild>
            <w:div w:id="1034963012">
              <w:marLeft w:val="0"/>
              <w:marRight w:val="0"/>
              <w:marTop w:val="0"/>
              <w:marBottom w:val="0"/>
              <w:divBdr>
                <w:top w:val="none" w:sz="0" w:space="0" w:color="auto"/>
                <w:left w:val="none" w:sz="0" w:space="0" w:color="auto"/>
                <w:bottom w:val="none" w:sz="0" w:space="0" w:color="auto"/>
                <w:right w:val="none" w:sz="0" w:space="0" w:color="auto"/>
              </w:divBdr>
              <w:divsChild>
                <w:div w:id="1863544221">
                  <w:marLeft w:val="0"/>
                  <w:marRight w:val="0"/>
                  <w:marTop w:val="0"/>
                  <w:marBottom w:val="0"/>
                  <w:divBdr>
                    <w:top w:val="none" w:sz="0" w:space="0" w:color="auto"/>
                    <w:left w:val="none" w:sz="0" w:space="0" w:color="auto"/>
                    <w:bottom w:val="none" w:sz="0" w:space="0" w:color="auto"/>
                    <w:right w:val="none" w:sz="0" w:space="0" w:color="auto"/>
                  </w:divBdr>
                  <w:divsChild>
                    <w:div w:id="20181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607">
      <w:bodyDiv w:val="1"/>
      <w:marLeft w:val="0"/>
      <w:marRight w:val="0"/>
      <w:marTop w:val="0"/>
      <w:marBottom w:val="0"/>
      <w:divBdr>
        <w:top w:val="none" w:sz="0" w:space="0" w:color="auto"/>
        <w:left w:val="none" w:sz="0" w:space="0" w:color="auto"/>
        <w:bottom w:val="none" w:sz="0" w:space="0" w:color="auto"/>
        <w:right w:val="none" w:sz="0" w:space="0" w:color="auto"/>
      </w:divBdr>
      <w:divsChild>
        <w:div w:id="265161231">
          <w:marLeft w:val="0"/>
          <w:marRight w:val="0"/>
          <w:marTop w:val="0"/>
          <w:marBottom w:val="0"/>
          <w:divBdr>
            <w:top w:val="none" w:sz="0" w:space="0" w:color="auto"/>
            <w:left w:val="none" w:sz="0" w:space="0" w:color="auto"/>
            <w:bottom w:val="none" w:sz="0" w:space="0" w:color="auto"/>
            <w:right w:val="none" w:sz="0" w:space="0" w:color="auto"/>
          </w:divBdr>
          <w:divsChild>
            <w:div w:id="1295334735">
              <w:marLeft w:val="0"/>
              <w:marRight w:val="0"/>
              <w:marTop w:val="0"/>
              <w:marBottom w:val="0"/>
              <w:divBdr>
                <w:top w:val="none" w:sz="0" w:space="0" w:color="auto"/>
                <w:left w:val="none" w:sz="0" w:space="0" w:color="auto"/>
                <w:bottom w:val="none" w:sz="0" w:space="0" w:color="auto"/>
                <w:right w:val="none" w:sz="0" w:space="0" w:color="auto"/>
              </w:divBdr>
              <w:divsChild>
                <w:div w:id="1574924605">
                  <w:marLeft w:val="0"/>
                  <w:marRight w:val="0"/>
                  <w:marTop w:val="0"/>
                  <w:marBottom w:val="0"/>
                  <w:divBdr>
                    <w:top w:val="none" w:sz="0" w:space="0" w:color="auto"/>
                    <w:left w:val="none" w:sz="0" w:space="0" w:color="auto"/>
                    <w:bottom w:val="none" w:sz="0" w:space="0" w:color="auto"/>
                    <w:right w:val="none" w:sz="0" w:space="0" w:color="auto"/>
                  </w:divBdr>
                  <w:divsChild>
                    <w:div w:id="18669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Howard</dc:creator>
  <cp:keywords/>
  <dc:description/>
  <cp:lastModifiedBy>Susan Malone</cp:lastModifiedBy>
  <cp:revision>2</cp:revision>
  <dcterms:created xsi:type="dcterms:W3CDTF">2019-09-26T16:20:00Z</dcterms:created>
  <dcterms:modified xsi:type="dcterms:W3CDTF">2019-09-26T16:20:00Z</dcterms:modified>
</cp:coreProperties>
</file>